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4AEFD" w14:textId="24D08347" w:rsidR="003D46B9" w:rsidRPr="00AD475B" w:rsidRDefault="003D46B9" w:rsidP="003D46B9">
      <w:pPr>
        <w:pStyle w:val="Heading1"/>
        <w:rPr>
          <w:rFonts w:cs="Calibri"/>
          <w:sz w:val="36"/>
          <w:szCs w:val="36"/>
          <w:highlight w:val="yellow"/>
        </w:rPr>
      </w:pPr>
      <w:r w:rsidRPr="00944C63">
        <w:rPr>
          <w:rFonts w:cs="Calibri"/>
          <w:sz w:val="36"/>
          <w:szCs w:val="36"/>
        </w:rPr>
        <w:t xml:space="preserve">European </w:t>
      </w:r>
      <w:r>
        <w:rPr>
          <w:rFonts w:cs="Calibri"/>
          <w:sz w:val="36"/>
          <w:szCs w:val="36"/>
        </w:rPr>
        <w:t xml:space="preserve">TCLF sectors: </w:t>
      </w:r>
      <w:r w:rsidRPr="00AD475B">
        <w:rPr>
          <w:rFonts w:cs="Calibri"/>
          <w:sz w:val="36"/>
          <w:szCs w:val="36"/>
        </w:rPr>
        <w:t xml:space="preserve">Social Partners demand dedicated EU action to </w:t>
      </w:r>
      <w:r w:rsidR="005E3D86">
        <w:rPr>
          <w:rFonts w:cs="Calibri"/>
          <w:sz w:val="36"/>
          <w:szCs w:val="36"/>
        </w:rPr>
        <w:t xml:space="preserve">safeguard the </w:t>
      </w:r>
      <w:r w:rsidR="0088180F">
        <w:rPr>
          <w:rFonts w:cs="Calibri"/>
          <w:sz w:val="36"/>
          <w:szCs w:val="36"/>
        </w:rPr>
        <w:t xml:space="preserve">industries and </w:t>
      </w:r>
      <w:r w:rsidR="00982F95">
        <w:rPr>
          <w:rFonts w:cs="Calibri"/>
          <w:sz w:val="36"/>
          <w:szCs w:val="36"/>
        </w:rPr>
        <w:t xml:space="preserve">their </w:t>
      </w:r>
      <w:r w:rsidR="005E3D86">
        <w:rPr>
          <w:rFonts w:cs="Calibri"/>
          <w:sz w:val="36"/>
          <w:szCs w:val="36"/>
        </w:rPr>
        <w:t xml:space="preserve">workers </w:t>
      </w:r>
      <w:r w:rsidRPr="00AD475B">
        <w:rPr>
          <w:rFonts w:cs="Calibri"/>
          <w:sz w:val="36"/>
          <w:szCs w:val="36"/>
        </w:rPr>
        <w:t xml:space="preserve"> </w:t>
      </w:r>
    </w:p>
    <w:p w14:paraId="36E9F82D" w14:textId="60A33400" w:rsidR="003D46B9" w:rsidRDefault="003D46B9" w:rsidP="003D46B9">
      <w:pPr>
        <w:pStyle w:val="Heading1"/>
        <w:rPr>
          <w:rFonts w:cs="Calibri"/>
          <w:sz w:val="22"/>
          <w:szCs w:val="22"/>
        </w:rPr>
      </w:pPr>
      <w:r w:rsidRPr="00664838">
        <w:rPr>
          <w:rFonts w:cs="Calibri"/>
          <w:sz w:val="22"/>
          <w:szCs w:val="22"/>
        </w:rPr>
        <w:t>(</w:t>
      </w:r>
      <w:r w:rsidR="00664838" w:rsidRPr="00664838">
        <w:rPr>
          <w:rFonts w:cs="Calibri"/>
          <w:sz w:val="22"/>
          <w:szCs w:val="22"/>
        </w:rPr>
        <w:t>28</w:t>
      </w:r>
      <w:r w:rsidRPr="00664838">
        <w:rPr>
          <w:rFonts w:cs="Calibri"/>
          <w:sz w:val="22"/>
          <w:szCs w:val="22"/>
        </w:rPr>
        <w:t xml:space="preserve"> May 2021)</w:t>
      </w:r>
      <w:r w:rsidRPr="00AD475B">
        <w:rPr>
          <w:rFonts w:cs="Calibri"/>
          <w:sz w:val="22"/>
          <w:szCs w:val="22"/>
        </w:rPr>
        <w:t xml:space="preserve"> </w:t>
      </w:r>
    </w:p>
    <w:p w14:paraId="7B0D489C" w14:textId="77777777" w:rsidR="0088180F" w:rsidRPr="0088180F" w:rsidRDefault="0088180F" w:rsidP="0088180F">
      <w:pPr>
        <w:rPr>
          <w:lang w:val="en-US"/>
        </w:rPr>
      </w:pPr>
    </w:p>
    <w:p w14:paraId="6885B036" w14:textId="3C72E195" w:rsidR="003D46B9" w:rsidRPr="003D46B9" w:rsidRDefault="003D46B9" w:rsidP="003D46B9">
      <w:pPr>
        <w:pStyle w:val="NoSpacing"/>
        <w:jc w:val="both"/>
        <w:rPr>
          <w:rFonts w:cstheme="minorHAnsi"/>
          <w:b/>
          <w:color w:val="0E101A"/>
          <w:lang w:val="en-GB"/>
        </w:rPr>
      </w:pPr>
      <w:r w:rsidRPr="003D46B9">
        <w:rPr>
          <w:rFonts w:cs="Calibri"/>
          <w:b/>
          <w:iCs/>
          <w:lang w:val="en-GB"/>
        </w:rPr>
        <w:t xml:space="preserve">Following the </w:t>
      </w:r>
      <w:r w:rsidRPr="003D46B9">
        <w:rPr>
          <w:rFonts w:cstheme="minorHAnsi"/>
          <w:b/>
          <w:color w:val="0E101A"/>
          <w:lang w:val="en-GB"/>
        </w:rPr>
        <w:t xml:space="preserve">European Commission’s update </w:t>
      </w:r>
      <w:r w:rsidR="00982F95">
        <w:rPr>
          <w:rFonts w:cstheme="minorHAnsi"/>
          <w:b/>
          <w:color w:val="0E101A"/>
          <w:lang w:val="en-GB"/>
        </w:rPr>
        <w:t>of</w:t>
      </w:r>
      <w:r w:rsidR="00982F95" w:rsidRPr="003D46B9">
        <w:rPr>
          <w:rFonts w:cstheme="minorHAnsi"/>
          <w:b/>
          <w:color w:val="0E101A"/>
          <w:lang w:val="en-GB"/>
        </w:rPr>
        <w:t xml:space="preserve"> </w:t>
      </w:r>
      <w:r w:rsidRPr="003D46B9">
        <w:rPr>
          <w:rFonts w:cstheme="minorHAnsi"/>
          <w:b/>
          <w:color w:val="0E101A"/>
          <w:lang w:val="en-GB"/>
        </w:rPr>
        <w:t xml:space="preserve">the 2020 New Industrial Strategy: </w:t>
      </w:r>
      <w:hyperlink r:id="rId10" w:history="1">
        <w:r w:rsidRPr="003D46B9">
          <w:rPr>
            <w:rStyle w:val="Hyperlink"/>
            <w:rFonts w:cstheme="minorHAnsi"/>
            <w:b/>
            <w:lang w:val="en-GB"/>
          </w:rPr>
          <w:t>‘’Building a stronger Single Market for Europe’s Recovery’’</w:t>
        </w:r>
      </w:hyperlink>
      <w:r w:rsidRPr="003D46B9">
        <w:rPr>
          <w:rFonts w:cstheme="minorHAnsi"/>
          <w:b/>
          <w:color w:val="0E101A"/>
          <w:lang w:val="en-GB"/>
        </w:rPr>
        <w:t xml:space="preserve">, the European </w:t>
      </w:r>
      <w:r w:rsidR="00982F95">
        <w:rPr>
          <w:rFonts w:cstheme="minorHAnsi"/>
          <w:b/>
          <w:color w:val="0E101A"/>
          <w:lang w:val="en-GB"/>
        </w:rPr>
        <w:t>S</w:t>
      </w:r>
      <w:r w:rsidR="00982F95" w:rsidRPr="003D46B9">
        <w:rPr>
          <w:rFonts w:cstheme="minorHAnsi"/>
          <w:b/>
          <w:color w:val="0E101A"/>
          <w:lang w:val="en-GB"/>
        </w:rPr>
        <w:t xml:space="preserve">ocial </w:t>
      </w:r>
      <w:r w:rsidR="00982F95">
        <w:rPr>
          <w:rFonts w:cstheme="minorHAnsi"/>
          <w:b/>
          <w:color w:val="0E101A"/>
          <w:lang w:val="en-GB"/>
        </w:rPr>
        <w:t>P</w:t>
      </w:r>
      <w:r w:rsidR="00982F95" w:rsidRPr="003D46B9">
        <w:rPr>
          <w:rFonts w:cstheme="minorHAnsi"/>
          <w:b/>
          <w:color w:val="0E101A"/>
          <w:lang w:val="en-GB"/>
        </w:rPr>
        <w:t xml:space="preserve">artners </w:t>
      </w:r>
      <w:r w:rsidRPr="003D46B9">
        <w:rPr>
          <w:rFonts w:cstheme="minorHAnsi"/>
          <w:b/>
          <w:color w:val="0E101A"/>
          <w:lang w:val="en-GB"/>
        </w:rPr>
        <w:t xml:space="preserve">for the Textile, Clothing, Leather, and Footwear (TCLF) sectors </w:t>
      </w:r>
      <w:r>
        <w:rPr>
          <w:rFonts w:cstheme="minorHAnsi"/>
          <w:b/>
          <w:color w:val="0E101A"/>
          <w:lang w:val="en-GB"/>
        </w:rPr>
        <w:t>came together to call for support via a d</w:t>
      </w:r>
      <w:r w:rsidRPr="002C7FC5">
        <w:rPr>
          <w:rFonts w:cstheme="minorHAnsi"/>
          <w:b/>
          <w:bCs/>
          <w:color w:val="0E101A"/>
          <w:lang w:val="en-GB"/>
        </w:rPr>
        <w:t>edicated strategy</w:t>
      </w:r>
      <w:r w:rsidR="00982F95">
        <w:rPr>
          <w:rFonts w:cstheme="minorHAnsi"/>
          <w:b/>
          <w:bCs/>
          <w:color w:val="0E101A"/>
          <w:lang w:val="en-GB"/>
        </w:rPr>
        <w:t xml:space="preserve">.  The </w:t>
      </w:r>
      <w:r w:rsidR="006E176F">
        <w:rPr>
          <w:rFonts w:cstheme="minorHAnsi"/>
          <w:b/>
          <w:bCs/>
          <w:color w:val="0E101A"/>
          <w:lang w:val="en-GB"/>
        </w:rPr>
        <w:t>S</w:t>
      </w:r>
      <w:r w:rsidR="00982F95">
        <w:rPr>
          <w:rFonts w:cstheme="minorHAnsi"/>
          <w:b/>
          <w:bCs/>
          <w:color w:val="0E101A"/>
          <w:lang w:val="en-GB"/>
        </w:rPr>
        <w:t>trategy aims</w:t>
      </w:r>
      <w:r>
        <w:rPr>
          <w:rFonts w:cstheme="minorHAnsi"/>
          <w:b/>
          <w:bCs/>
          <w:color w:val="0E101A"/>
          <w:lang w:val="en-GB"/>
        </w:rPr>
        <w:t xml:space="preserve"> to help </w:t>
      </w:r>
      <w:r w:rsidRPr="002C7FC5">
        <w:rPr>
          <w:rFonts w:cstheme="minorHAnsi"/>
          <w:b/>
          <w:bCs/>
          <w:color w:val="0E101A"/>
          <w:lang w:val="en-GB"/>
        </w:rPr>
        <w:t>guide the TCLF industr</w:t>
      </w:r>
      <w:r>
        <w:rPr>
          <w:rFonts w:cstheme="minorHAnsi"/>
          <w:b/>
          <w:bCs/>
          <w:color w:val="0E101A"/>
          <w:lang w:val="en-GB"/>
        </w:rPr>
        <w:t>ies</w:t>
      </w:r>
      <w:r w:rsidRPr="002C7FC5">
        <w:rPr>
          <w:rFonts w:cstheme="minorHAnsi"/>
          <w:b/>
          <w:bCs/>
          <w:color w:val="0E101A"/>
          <w:lang w:val="en-GB"/>
        </w:rPr>
        <w:t xml:space="preserve"> through </w:t>
      </w:r>
      <w:r>
        <w:rPr>
          <w:rFonts w:cstheme="minorHAnsi"/>
          <w:b/>
          <w:bCs/>
          <w:color w:val="0E101A"/>
          <w:lang w:val="en-GB"/>
        </w:rPr>
        <w:t xml:space="preserve">the current </w:t>
      </w:r>
      <w:r w:rsidRPr="002C7FC5">
        <w:rPr>
          <w:rFonts w:cstheme="minorHAnsi"/>
          <w:b/>
          <w:bCs/>
          <w:color w:val="0E101A"/>
          <w:lang w:val="en-GB"/>
        </w:rPr>
        <w:t>green and digital transition, while</w:t>
      </w:r>
      <w:r>
        <w:rPr>
          <w:rFonts w:cstheme="minorHAnsi"/>
          <w:b/>
          <w:bCs/>
          <w:color w:val="0E101A"/>
          <w:lang w:val="en-GB"/>
        </w:rPr>
        <w:t xml:space="preserve"> </w:t>
      </w:r>
      <w:r w:rsidRPr="002C7FC5">
        <w:rPr>
          <w:rFonts w:cstheme="minorHAnsi"/>
          <w:b/>
          <w:bCs/>
          <w:color w:val="0E101A"/>
          <w:lang w:val="en-GB"/>
        </w:rPr>
        <w:t xml:space="preserve">facing </w:t>
      </w:r>
      <w:r>
        <w:rPr>
          <w:rFonts w:cstheme="minorHAnsi"/>
          <w:b/>
          <w:bCs/>
          <w:color w:val="0E101A"/>
          <w:lang w:val="en-GB"/>
        </w:rPr>
        <w:t xml:space="preserve">tough </w:t>
      </w:r>
      <w:r w:rsidRPr="002C7FC5">
        <w:rPr>
          <w:rFonts w:cstheme="minorHAnsi"/>
          <w:b/>
          <w:bCs/>
          <w:color w:val="0E101A"/>
          <w:lang w:val="en-GB"/>
        </w:rPr>
        <w:t>global competition</w:t>
      </w:r>
      <w:r>
        <w:rPr>
          <w:rFonts w:cstheme="minorHAnsi"/>
          <w:b/>
          <w:bCs/>
          <w:color w:val="0E101A"/>
          <w:lang w:val="en-GB"/>
        </w:rPr>
        <w:t>, stressing the need to safeguar</w:t>
      </w:r>
      <w:r w:rsidR="0088180F">
        <w:rPr>
          <w:rFonts w:cstheme="minorHAnsi"/>
          <w:b/>
          <w:bCs/>
          <w:color w:val="0E101A"/>
          <w:lang w:val="en-GB"/>
        </w:rPr>
        <w:t>d</w:t>
      </w:r>
      <w:r>
        <w:rPr>
          <w:rFonts w:cstheme="minorHAnsi"/>
          <w:b/>
          <w:bCs/>
          <w:color w:val="0E101A"/>
          <w:lang w:val="en-GB"/>
        </w:rPr>
        <w:t xml:space="preserve"> the industries and protect jobs in Europe.</w:t>
      </w:r>
    </w:p>
    <w:p w14:paraId="714CB983" w14:textId="77777777" w:rsidR="00183C9E" w:rsidRDefault="00183C9E" w:rsidP="00183C9E">
      <w:pPr>
        <w:jc w:val="both"/>
        <w:rPr>
          <w:rFonts w:cs="Calibri"/>
          <w:bCs/>
          <w:iCs/>
          <w:lang w:val="en-GB"/>
        </w:rPr>
      </w:pPr>
    </w:p>
    <w:p w14:paraId="4A30BBC5" w14:textId="5150C7CC" w:rsidR="00183C9E" w:rsidRDefault="003D46B9" w:rsidP="004522B6">
      <w:pPr>
        <w:spacing w:line="276" w:lineRule="auto"/>
        <w:jc w:val="both"/>
        <w:rPr>
          <w:rFonts w:cs="Calibri"/>
          <w:bCs/>
          <w:iCs/>
          <w:lang w:val="en-GB"/>
        </w:rPr>
      </w:pPr>
      <w:r w:rsidRPr="003D46B9">
        <w:rPr>
          <w:rFonts w:cs="Calibri"/>
          <w:bCs/>
          <w:iCs/>
          <w:lang w:val="en-GB"/>
        </w:rPr>
        <w:t>On 25 May, employers</w:t>
      </w:r>
      <w:r w:rsidR="00183C9E">
        <w:rPr>
          <w:rFonts w:cs="Calibri"/>
          <w:bCs/>
          <w:iCs/>
          <w:lang w:val="en-GB"/>
        </w:rPr>
        <w:t xml:space="preserve">’ </w:t>
      </w:r>
      <w:r w:rsidRPr="003D46B9">
        <w:rPr>
          <w:rFonts w:cs="Calibri"/>
          <w:bCs/>
          <w:iCs/>
          <w:lang w:val="en-GB"/>
        </w:rPr>
        <w:t xml:space="preserve">and workers’ representatives for the European </w:t>
      </w:r>
      <w:r>
        <w:rPr>
          <w:rFonts w:cs="Calibri"/>
          <w:bCs/>
          <w:iCs/>
          <w:lang w:val="en-GB"/>
        </w:rPr>
        <w:t xml:space="preserve">TCLF </w:t>
      </w:r>
      <w:r w:rsidRPr="003D46B9">
        <w:rPr>
          <w:rFonts w:cs="Calibri"/>
          <w:bCs/>
          <w:iCs/>
          <w:lang w:val="en-GB"/>
        </w:rPr>
        <w:t>sector</w:t>
      </w:r>
      <w:r>
        <w:rPr>
          <w:rFonts w:cs="Calibri"/>
          <w:bCs/>
          <w:iCs/>
          <w:lang w:val="en-GB"/>
        </w:rPr>
        <w:t>s</w:t>
      </w:r>
      <w:r w:rsidRPr="003D46B9">
        <w:rPr>
          <w:rFonts w:cs="Calibri"/>
          <w:bCs/>
          <w:iCs/>
          <w:lang w:val="en-GB"/>
        </w:rPr>
        <w:t xml:space="preserve"> met </w:t>
      </w:r>
      <w:r>
        <w:rPr>
          <w:rFonts w:cs="Calibri"/>
          <w:bCs/>
          <w:iCs/>
          <w:lang w:val="en-GB"/>
        </w:rPr>
        <w:t xml:space="preserve">with the European Commission </w:t>
      </w:r>
      <w:r w:rsidR="00183C9E">
        <w:rPr>
          <w:rFonts w:cs="Calibri"/>
          <w:bCs/>
          <w:iCs/>
          <w:lang w:val="en-GB"/>
        </w:rPr>
        <w:t>to discuss the current challenges facing the</w:t>
      </w:r>
      <w:r w:rsidR="0088180F">
        <w:rPr>
          <w:rFonts w:cs="Calibri"/>
          <w:bCs/>
          <w:iCs/>
          <w:lang w:val="en-GB"/>
        </w:rPr>
        <w:t xml:space="preserve"> TCLF</w:t>
      </w:r>
      <w:r w:rsidR="00183C9E">
        <w:rPr>
          <w:rFonts w:cs="Calibri"/>
          <w:bCs/>
          <w:iCs/>
          <w:lang w:val="en-GB"/>
        </w:rPr>
        <w:t xml:space="preserve"> industries and potential EU action to help </w:t>
      </w:r>
      <w:r w:rsidR="0088180F">
        <w:rPr>
          <w:rFonts w:cs="Calibri"/>
          <w:bCs/>
          <w:iCs/>
          <w:lang w:val="en-GB"/>
        </w:rPr>
        <w:t xml:space="preserve">support </w:t>
      </w:r>
      <w:r w:rsidR="00183C9E">
        <w:rPr>
          <w:rFonts w:cs="Calibri"/>
          <w:bCs/>
          <w:iCs/>
          <w:lang w:val="en-GB"/>
        </w:rPr>
        <w:t xml:space="preserve">the sectors and their workers.  Following discussions on the terrible impact of </w:t>
      </w:r>
      <w:r w:rsidR="0088180F">
        <w:rPr>
          <w:rFonts w:cs="Calibri"/>
          <w:bCs/>
          <w:iCs/>
          <w:lang w:val="en-GB"/>
        </w:rPr>
        <w:t>COVID-19</w:t>
      </w:r>
      <w:r w:rsidR="00183C9E">
        <w:rPr>
          <w:rFonts w:cs="Calibri"/>
          <w:bCs/>
          <w:iCs/>
          <w:lang w:val="en-GB"/>
        </w:rPr>
        <w:t xml:space="preserve"> on the sector</w:t>
      </w:r>
      <w:r w:rsidR="0088180F">
        <w:rPr>
          <w:rFonts w:cs="Calibri"/>
          <w:bCs/>
          <w:iCs/>
          <w:lang w:val="en-GB"/>
        </w:rPr>
        <w:t>s</w:t>
      </w:r>
      <w:r w:rsidR="00183C9E">
        <w:rPr>
          <w:rFonts w:cs="Calibri"/>
          <w:bCs/>
          <w:iCs/>
          <w:lang w:val="en-GB"/>
        </w:rPr>
        <w:t xml:space="preserve"> and the need for a strong</w:t>
      </w:r>
      <w:r w:rsidR="0088180F">
        <w:rPr>
          <w:rFonts w:cs="Calibri"/>
          <w:bCs/>
          <w:iCs/>
          <w:lang w:val="en-GB"/>
        </w:rPr>
        <w:t xml:space="preserve"> EU action, </w:t>
      </w:r>
      <w:r w:rsidR="00183C9E">
        <w:rPr>
          <w:rFonts w:cs="Calibri"/>
          <w:bCs/>
          <w:iCs/>
          <w:lang w:val="en-GB"/>
        </w:rPr>
        <w:t xml:space="preserve">the </w:t>
      </w:r>
      <w:r w:rsidR="006E176F">
        <w:rPr>
          <w:rFonts w:cs="Calibri"/>
          <w:bCs/>
          <w:iCs/>
          <w:lang w:val="en-GB"/>
        </w:rPr>
        <w:t>Joint S</w:t>
      </w:r>
      <w:r w:rsidR="00183C9E">
        <w:rPr>
          <w:rFonts w:cs="Calibri"/>
          <w:bCs/>
          <w:iCs/>
          <w:lang w:val="en-GB"/>
        </w:rPr>
        <w:t>tatement</w:t>
      </w:r>
      <w:r w:rsidR="00183C9E" w:rsidRPr="0088180F">
        <w:rPr>
          <w:rFonts w:cs="Calibri"/>
          <w:b/>
          <w:i/>
          <w:lang w:val="en-GB"/>
        </w:rPr>
        <w:t xml:space="preserve">: </w:t>
      </w:r>
      <w:r w:rsidR="00183C9E" w:rsidRPr="0088180F">
        <w:rPr>
          <w:rFonts w:cs="Calibri"/>
          <w:b/>
          <w:i/>
          <w:highlight w:val="yellow"/>
          <w:lang w:val="en-GB"/>
        </w:rPr>
        <w:t>‘’The future industrial strategy of the EU Textiles Ecosystem (TCLF sectors)’’</w:t>
      </w:r>
      <w:r w:rsidR="00183C9E">
        <w:rPr>
          <w:rFonts w:cs="Calibri"/>
          <w:bCs/>
          <w:iCs/>
          <w:lang w:val="en-GB"/>
        </w:rPr>
        <w:t xml:space="preserve"> was adopted. </w:t>
      </w:r>
    </w:p>
    <w:p w14:paraId="376529B0" w14:textId="77777777" w:rsidR="0088180F" w:rsidRDefault="0088180F" w:rsidP="0088180F">
      <w:pPr>
        <w:spacing w:line="276" w:lineRule="auto"/>
        <w:jc w:val="both"/>
        <w:rPr>
          <w:rFonts w:cs="Calibri"/>
          <w:bCs/>
          <w:iCs/>
          <w:lang w:val="en-GB"/>
        </w:rPr>
      </w:pPr>
    </w:p>
    <w:p w14:paraId="76F92240" w14:textId="7ECA17C5" w:rsidR="003D46B9" w:rsidRDefault="00183C9E" w:rsidP="0088180F">
      <w:pPr>
        <w:spacing w:line="276" w:lineRule="auto"/>
        <w:jc w:val="both"/>
        <w:rPr>
          <w:rFonts w:cstheme="minorHAnsi"/>
          <w:bCs/>
          <w:color w:val="0E101A"/>
          <w:lang w:val="en-GB"/>
        </w:rPr>
      </w:pPr>
      <w:r w:rsidRPr="0088180F">
        <w:rPr>
          <w:rFonts w:cs="Calibri"/>
          <w:bCs/>
          <w:iCs/>
          <w:lang w:val="en-GB"/>
        </w:rPr>
        <w:t xml:space="preserve">The </w:t>
      </w:r>
      <w:r w:rsidR="003D46B9" w:rsidRPr="0088180F">
        <w:rPr>
          <w:rFonts w:cs="Calibri"/>
          <w:bCs/>
          <w:iCs/>
          <w:lang w:val="en-GB"/>
        </w:rPr>
        <w:t>Joint Statement</w:t>
      </w:r>
      <w:r w:rsidR="003D46B9" w:rsidRPr="00183C9E">
        <w:rPr>
          <w:rFonts w:cs="Calibri"/>
          <w:bCs/>
          <w:iCs/>
          <w:lang w:val="en-GB"/>
        </w:rPr>
        <w:t xml:space="preserve"> </w:t>
      </w:r>
      <w:r w:rsidRPr="00183C9E">
        <w:rPr>
          <w:rFonts w:cs="Calibri"/>
          <w:bCs/>
          <w:iCs/>
          <w:lang w:val="en-GB"/>
        </w:rPr>
        <w:t xml:space="preserve">highlights the need for a </w:t>
      </w:r>
      <w:r w:rsidRPr="00183C9E">
        <w:rPr>
          <w:rFonts w:cstheme="minorHAnsi"/>
          <w:bCs/>
          <w:color w:val="0E101A"/>
          <w:lang w:val="en-GB"/>
        </w:rPr>
        <w:t xml:space="preserve">dedicated strategy with support at national and EU level to help the TCLF sectors survive following the COVID-19 </w:t>
      </w:r>
      <w:r w:rsidR="0088180F">
        <w:rPr>
          <w:rFonts w:cstheme="minorHAnsi"/>
          <w:bCs/>
          <w:color w:val="0E101A"/>
          <w:lang w:val="en-GB"/>
        </w:rPr>
        <w:t xml:space="preserve">pandemic, </w:t>
      </w:r>
      <w:r w:rsidRPr="00183C9E">
        <w:rPr>
          <w:rFonts w:cstheme="minorHAnsi"/>
          <w:bCs/>
          <w:color w:val="0E101A"/>
          <w:lang w:val="en-GB"/>
        </w:rPr>
        <w:t xml:space="preserve">while </w:t>
      </w:r>
      <w:r w:rsidR="0088180F">
        <w:rPr>
          <w:rFonts w:cstheme="minorHAnsi"/>
          <w:bCs/>
          <w:color w:val="0E101A"/>
          <w:lang w:val="en-GB"/>
        </w:rPr>
        <w:t xml:space="preserve">they </w:t>
      </w:r>
      <w:r w:rsidRPr="00183C9E">
        <w:rPr>
          <w:rFonts w:cstheme="minorHAnsi"/>
          <w:bCs/>
          <w:color w:val="0E101A"/>
          <w:lang w:val="en-GB"/>
        </w:rPr>
        <w:t>continu</w:t>
      </w:r>
      <w:r w:rsidR="0088180F">
        <w:rPr>
          <w:rFonts w:cstheme="minorHAnsi"/>
          <w:bCs/>
          <w:color w:val="0E101A"/>
          <w:lang w:val="en-GB"/>
        </w:rPr>
        <w:t xml:space="preserve">e to </w:t>
      </w:r>
      <w:r w:rsidRPr="00183C9E">
        <w:rPr>
          <w:rFonts w:cstheme="minorHAnsi"/>
          <w:bCs/>
          <w:color w:val="0E101A"/>
          <w:lang w:val="en-GB"/>
        </w:rPr>
        <w:t>face tough</w:t>
      </w:r>
      <w:r w:rsidR="00664838">
        <w:rPr>
          <w:rFonts w:cstheme="minorHAnsi"/>
          <w:bCs/>
          <w:color w:val="0E101A"/>
          <w:lang w:val="en-GB"/>
        </w:rPr>
        <w:t>,</w:t>
      </w:r>
      <w:r w:rsidRPr="00183C9E">
        <w:rPr>
          <w:rFonts w:cstheme="minorHAnsi"/>
          <w:bCs/>
          <w:color w:val="0E101A"/>
          <w:lang w:val="en-GB"/>
        </w:rPr>
        <w:t xml:space="preserve"> and</w:t>
      </w:r>
      <w:r w:rsidR="0081769C">
        <w:rPr>
          <w:rFonts w:cstheme="minorHAnsi"/>
          <w:bCs/>
          <w:color w:val="0E101A"/>
          <w:lang w:val="en-GB"/>
        </w:rPr>
        <w:t>,</w:t>
      </w:r>
      <w:r w:rsidRPr="00183C9E">
        <w:rPr>
          <w:rFonts w:cstheme="minorHAnsi"/>
          <w:bCs/>
          <w:color w:val="0E101A"/>
          <w:lang w:val="en-GB"/>
        </w:rPr>
        <w:t xml:space="preserve"> </w:t>
      </w:r>
      <w:r w:rsidR="005101CD">
        <w:rPr>
          <w:rFonts w:cstheme="minorHAnsi"/>
          <w:bCs/>
          <w:color w:val="0E101A"/>
          <w:lang w:val="en-GB"/>
        </w:rPr>
        <w:t xml:space="preserve">sometimes </w:t>
      </w:r>
      <w:r w:rsidRPr="00183C9E">
        <w:rPr>
          <w:rFonts w:cstheme="minorHAnsi"/>
          <w:bCs/>
          <w:color w:val="0E101A"/>
          <w:lang w:val="en-GB"/>
        </w:rPr>
        <w:t>unfair</w:t>
      </w:r>
      <w:r w:rsidR="00664838">
        <w:rPr>
          <w:rFonts w:cstheme="minorHAnsi"/>
          <w:bCs/>
          <w:color w:val="0E101A"/>
          <w:lang w:val="en-GB"/>
        </w:rPr>
        <w:t>,</w:t>
      </w:r>
      <w:r w:rsidRPr="00183C9E">
        <w:rPr>
          <w:rFonts w:cstheme="minorHAnsi"/>
          <w:bCs/>
          <w:color w:val="0E101A"/>
          <w:lang w:val="en-GB"/>
        </w:rPr>
        <w:t xml:space="preserve"> global competition. The </w:t>
      </w:r>
      <w:r w:rsidR="00982F95">
        <w:rPr>
          <w:rFonts w:cstheme="minorHAnsi"/>
          <w:bCs/>
          <w:color w:val="0E101A"/>
          <w:lang w:val="en-GB"/>
        </w:rPr>
        <w:t>S</w:t>
      </w:r>
      <w:r w:rsidR="00982F95" w:rsidRPr="00183C9E">
        <w:rPr>
          <w:rFonts w:cstheme="minorHAnsi"/>
          <w:bCs/>
          <w:color w:val="0E101A"/>
          <w:lang w:val="en-GB"/>
        </w:rPr>
        <w:t xml:space="preserve">ocial </w:t>
      </w:r>
      <w:r w:rsidR="00982F95">
        <w:rPr>
          <w:rFonts w:cstheme="minorHAnsi"/>
          <w:bCs/>
          <w:color w:val="0E101A"/>
          <w:lang w:val="en-GB"/>
        </w:rPr>
        <w:t>P</w:t>
      </w:r>
      <w:r w:rsidRPr="00183C9E">
        <w:rPr>
          <w:rFonts w:cstheme="minorHAnsi"/>
          <w:bCs/>
          <w:color w:val="0E101A"/>
          <w:lang w:val="en-GB"/>
        </w:rPr>
        <w:t>artners of the TCLF industries fully support the EU’s ambitions for a green and digital transition</w:t>
      </w:r>
      <w:r w:rsidR="0088180F">
        <w:rPr>
          <w:rFonts w:cstheme="minorHAnsi"/>
          <w:bCs/>
          <w:color w:val="0E101A"/>
          <w:lang w:val="en-GB"/>
        </w:rPr>
        <w:t xml:space="preserve"> of the sectors, </w:t>
      </w:r>
      <w:r w:rsidRPr="00183C9E">
        <w:rPr>
          <w:rFonts w:cstheme="minorHAnsi"/>
          <w:bCs/>
          <w:color w:val="0E101A"/>
          <w:lang w:val="en-GB"/>
        </w:rPr>
        <w:t xml:space="preserve">but insist on concrete </w:t>
      </w:r>
      <w:r w:rsidR="0088180F">
        <w:rPr>
          <w:rFonts w:cstheme="minorHAnsi"/>
          <w:bCs/>
          <w:color w:val="0E101A"/>
          <w:lang w:val="en-GB"/>
        </w:rPr>
        <w:t xml:space="preserve">European </w:t>
      </w:r>
      <w:r w:rsidRPr="00183C9E">
        <w:rPr>
          <w:rFonts w:cstheme="minorHAnsi"/>
          <w:bCs/>
          <w:color w:val="0E101A"/>
          <w:lang w:val="en-GB"/>
        </w:rPr>
        <w:t>measures to help the indust</w:t>
      </w:r>
      <w:r w:rsidRPr="007076D7">
        <w:rPr>
          <w:rFonts w:cstheme="minorHAnsi"/>
          <w:bCs/>
          <w:color w:val="0E101A"/>
          <w:lang w:val="en-GB"/>
        </w:rPr>
        <w:t>r</w:t>
      </w:r>
      <w:r w:rsidR="0081769C" w:rsidRPr="007076D7">
        <w:rPr>
          <w:rFonts w:cstheme="minorHAnsi"/>
          <w:bCs/>
          <w:color w:val="0E101A"/>
          <w:lang w:val="en-GB"/>
        </w:rPr>
        <w:t>ies</w:t>
      </w:r>
      <w:r w:rsidRPr="00183C9E">
        <w:rPr>
          <w:rFonts w:cstheme="minorHAnsi"/>
          <w:bCs/>
          <w:color w:val="0E101A"/>
          <w:lang w:val="en-GB"/>
        </w:rPr>
        <w:t xml:space="preserve"> transform while </w:t>
      </w:r>
      <w:r w:rsidR="0081769C">
        <w:rPr>
          <w:rFonts w:cstheme="minorHAnsi"/>
          <w:bCs/>
          <w:color w:val="0E101A"/>
          <w:lang w:val="en-GB"/>
        </w:rPr>
        <w:t>the</w:t>
      </w:r>
      <w:r w:rsidRPr="00183C9E">
        <w:rPr>
          <w:rFonts w:cstheme="minorHAnsi"/>
          <w:bCs/>
          <w:color w:val="0E101A"/>
          <w:lang w:val="en-GB"/>
        </w:rPr>
        <w:t xml:space="preserve"> continues to suffer </w:t>
      </w:r>
      <w:r w:rsidR="005101CD">
        <w:rPr>
          <w:rFonts w:cstheme="minorHAnsi"/>
          <w:bCs/>
          <w:color w:val="0E101A"/>
          <w:lang w:val="en-GB"/>
        </w:rPr>
        <w:t>from</w:t>
      </w:r>
      <w:r w:rsidR="005101CD" w:rsidRPr="00183C9E">
        <w:rPr>
          <w:rFonts w:cstheme="minorHAnsi"/>
          <w:bCs/>
          <w:color w:val="0E101A"/>
          <w:lang w:val="en-GB"/>
        </w:rPr>
        <w:t xml:space="preserve"> </w:t>
      </w:r>
      <w:r w:rsidRPr="00183C9E">
        <w:rPr>
          <w:rFonts w:cstheme="minorHAnsi"/>
          <w:bCs/>
          <w:color w:val="0E101A"/>
          <w:lang w:val="en-GB"/>
        </w:rPr>
        <w:t>a</w:t>
      </w:r>
      <w:r w:rsidR="0088180F">
        <w:rPr>
          <w:rFonts w:cstheme="minorHAnsi"/>
          <w:bCs/>
          <w:color w:val="0E101A"/>
          <w:lang w:val="en-GB"/>
        </w:rPr>
        <w:t>n</w:t>
      </w:r>
      <w:r w:rsidRPr="00183C9E">
        <w:rPr>
          <w:rFonts w:cstheme="minorHAnsi"/>
          <w:bCs/>
          <w:color w:val="0E101A"/>
          <w:lang w:val="en-GB"/>
        </w:rPr>
        <w:t xml:space="preserve"> unlevel global playing field. </w:t>
      </w:r>
    </w:p>
    <w:p w14:paraId="768070AB" w14:textId="77777777" w:rsidR="0088180F" w:rsidRPr="00183C9E" w:rsidRDefault="0088180F" w:rsidP="0088180F">
      <w:pPr>
        <w:spacing w:line="276" w:lineRule="auto"/>
        <w:jc w:val="both"/>
        <w:rPr>
          <w:rFonts w:cs="Calibri"/>
          <w:bCs/>
          <w:iCs/>
          <w:lang w:val="en-GB"/>
        </w:rPr>
      </w:pPr>
    </w:p>
    <w:p w14:paraId="309F99DF" w14:textId="0AD40791" w:rsidR="00183C9E" w:rsidRPr="00664838" w:rsidRDefault="00183C9E" w:rsidP="0088180F">
      <w:pPr>
        <w:spacing w:line="276" w:lineRule="auto"/>
        <w:jc w:val="both"/>
        <w:rPr>
          <w:rFonts w:cstheme="minorHAnsi"/>
          <w:shd w:val="clear" w:color="auto" w:fill="FFFFFF"/>
          <w:lang w:val="en-GB"/>
        </w:rPr>
      </w:pPr>
      <w:r>
        <w:rPr>
          <w:rFonts w:cs="Calibri"/>
          <w:bCs/>
          <w:iCs/>
          <w:lang w:val="en-GB"/>
        </w:rPr>
        <w:t>Specific joint demands include</w:t>
      </w:r>
      <w:r w:rsidR="0088180F">
        <w:rPr>
          <w:rFonts w:cs="Calibri"/>
          <w:bCs/>
          <w:iCs/>
          <w:lang w:val="en-GB"/>
        </w:rPr>
        <w:t>:</w:t>
      </w:r>
      <w:r>
        <w:rPr>
          <w:rFonts w:cs="Calibri"/>
          <w:bCs/>
          <w:iCs/>
          <w:lang w:val="en-GB"/>
        </w:rPr>
        <w:t xml:space="preserve"> </w:t>
      </w:r>
      <w:r w:rsidR="00863202">
        <w:rPr>
          <w:rFonts w:cs="Calibri"/>
          <w:bCs/>
          <w:iCs/>
          <w:lang w:val="en-GB"/>
        </w:rPr>
        <w:t xml:space="preserve">full engagement with </w:t>
      </w:r>
      <w:r w:rsidR="00982F95">
        <w:rPr>
          <w:rFonts w:cs="Calibri"/>
          <w:bCs/>
          <w:iCs/>
          <w:lang w:val="en-GB"/>
        </w:rPr>
        <w:t>Social P</w:t>
      </w:r>
      <w:r w:rsidR="00863202">
        <w:rPr>
          <w:rFonts w:cs="Calibri"/>
          <w:bCs/>
          <w:iCs/>
          <w:lang w:val="en-GB"/>
        </w:rPr>
        <w:t>artners in both the recovery and the transition of the industries, support for the EU Pact for Skills for the relevant ecosystem, a revision of the GSP which doesn’t negatively impact the sectors and its workers, support to decarbonise the sector</w:t>
      </w:r>
      <w:r w:rsidR="00982F95">
        <w:rPr>
          <w:rFonts w:cs="Calibri"/>
          <w:bCs/>
          <w:iCs/>
          <w:lang w:val="en-GB"/>
        </w:rPr>
        <w:t>s</w:t>
      </w:r>
      <w:r w:rsidR="00863202">
        <w:rPr>
          <w:rFonts w:cs="Calibri"/>
          <w:bCs/>
          <w:iCs/>
          <w:lang w:val="en-GB"/>
        </w:rPr>
        <w:t xml:space="preserve">, </w:t>
      </w:r>
      <w:r w:rsidR="0088180F">
        <w:rPr>
          <w:rFonts w:cs="Calibri"/>
          <w:bCs/>
          <w:iCs/>
          <w:lang w:val="en-GB"/>
        </w:rPr>
        <w:t xml:space="preserve">careful </w:t>
      </w:r>
      <w:r w:rsidR="00863202">
        <w:rPr>
          <w:rFonts w:cs="Calibri"/>
          <w:bCs/>
          <w:iCs/>
          <w:lang w:val="en-GB"/>
        </w:rPr>
        <w:t xml:space="preserve">consideration of the </w:t>
      </w:r>
      <w:r w:rsidR="00863202" w:rsidRPr="00863202">
        <w:rPr>
          <w:rFonts w:cs="Calibri"/>
          <w:bCs/>
          <w:iCs/>
          <w:lang w:val="en-GB"/>
        </w:rPr>
        <w:t>Due Diligence Legislation</w:t>
      </w:r>
      <w:r w:rsidR="00863202">
        <w:rPr>
          <w:rFonts w:cs="Calibri"/>
          <w:bCs/>
          <w:iCs/>
          <w:lang w:val="en-GB"/>
        </w:rPr>
        <w:t xml:space="preserve"> and </w:t>
      </w:r>
      <w:r w:rsidR="0088180F">
        <w:rPr>
          <w:rFonts w:cs="Calibri"/>
          <w:bCs/>
          <w:iCs/>
          <w:lang w:val="en-GB"/>
        </w:rPr>
        <w:t xml:space="preserve">quality </w:t>
      </w:r>
      <w:r w:rsidR="00863202">
        <w:rPr>
          <w:rFonts w:cs="Calibri"/>
          <w:bCs/>
          <w:iCs/>
          <w:lang w:val="en-GB"/>
        </w:rPr>
        <w:t xml:space="preserve">dialogue with </w:t>
      </w:r>
      <w:r w:rsidR="00982F95">
        <w:rPr>
          <w:rFonts w:cs="Calibri"/>
          <w:bCs/>
          <w:iCs/>
          <w:lang w:val="en-GB"/>
        </w:rPr>
        <w:t xml:space="preserve">Social Partners </w:t>
      </w:r>
      <w:r w:rsidR="00863202">
        <w:rPr>
          <w:rFonts w:cs="Calibri"/>
          <w:bCs/>
          <w:iCs/>
          <w:lang w:val="en-GB"/>
        </w:rPr>
        <w:t xml:space="preserve">ahead of the </w:t>
      </w:r>
      <w:r w:rsidR="00863202" w:rsidRPr="00863202">
        <w:rPr>
          <w:rFonts w:cs="Calibri"/>
          <w:bCs/>
          <w:iCs/>
          <w:lang w:val="en-GB"/>
        </w:rPr>
        <w:t>EU Sustainable Products Initiative and the Consumer Agenda</w:t>
      </w:r>
      <w:r w:rsidR="00863202">
        <w:rPr>
          <w:rFonts w:cs="Calibri"/>
          <w:bCs/>
          <w:iCs/>
          <w:lang w:val="en-GB"/>
        </w:rPr>
        <w:t xml:space="preserve"> to ensure that all policy gaps are addressed. Special attention </w:t>
      </w:r>
      <w:r w:rsidR="0088180F">
        <w:rPr>
          <w:rFonts w:cs="Calibri"/>
          <w:bCs/>
          <w:iCs/>
          <w:lang w:val="en-GB"/>
        </w:rPr>
        <w:t xml:space="preserve">must also be </w:t>
      </w:r>
      <w:r w:rsidR="00863202">
        <w:rPr>
          <w:rFonts w:cs="Calibri"/>
          <w:bCs/>
          <w:iCs/>
          <w:lang w:val="en-GB"/>
        </w:rPr>
        <w:t xml:space="preserve">given to the </w:t>
      </w:r>
      <w:r>
        <w:rPr>
          <w:rFonts w:cstheme="minorHAnsi"/>
          <w:shd w:val="clear" w:color="auto" w:fill="FFFFFF"/>
          <w:lang w:val="en-GB"/>
        </w:rPr>
        <w:t xml:space="preserve">forthcoming </w:t>
      </w:r>
      <w:r>
        <w:rPr>
          <w:rFonts w:cstheme="minorHAnsi"/>
          <w:b/>
          <w:bCs/>
          <w:shd w:val="clear" w:color="auto" w:fill="FFFFFF"/>
          <w:lang w:val="en-GB"/>
        </w:rPr>
        <w:t>EU Textiles Strategy</w:t>
      </w:r>
      <w:r>
        <w:rPr>
          <w:rFonts w:cstheme="minorHAnsi"/>
          <w:shd w:val="clear" w:color="auto" w:fill="FFFFFF"/>
          <w:lang w:val="en-GB"/>
        </w:rPr>
        <w:t xml:space="preserve"> </w:t>
      </w:r>
      <w:r w:rsidR="00863202">
        <w:rPr>
          <w:rFonts w:cstheme="minorHAnsi"/>
          <w:shd w:val="clear" w:color="auto" w:fill="FFFFFF"/>
          <w:lang w:val="en-GB"/>
        </w:rPr>
        <w:t xml:space="preserve">which </w:t>
      </w:r>
      <w:r w:rsidR="00863202" w:rsidRPr="00664838">
        <w:rPr>
          <w:rFonts w:cstheme="minorHAnsi"/>
          <w:shd w:val="clear" w:color="auto" w:fill="FFFFFF"/>
          <w:lang w:val="en-GB"/>
        </w:rPr>
        <w:t xml:space="preserve">should fully represent the needs of the </w:t>
      </w:r>
      <w:r w:rsidR="0088180F" w:rsidRPr="00664838">
        <w:rPr>
          <w:rFonts w:cstheme="minorHAnsi"/>
          <w:shd w:val="clear" w:color="auto" w:fill="FFFFFF"/>
          <w:lang w:val="en-GB"/>
        </w:rPr>
        <w:t xml:space="preserve">EU’s </w:t>
      </w:r>
      <w:r w:rsidR="0097640E" w:rsidRPr="007076D7">
        <w:rPr>
          <w:rFonts w:cstheme="minorHAnsi"/>
          <w:shd w:val="clear" w:color="auto" w:fill="FFFFFF"/>
          <w:lang w:val="en-GB"/>
        </w:rPr>
        <w:t>entire</w:t>
      </w:r>
      <w:r w:rsidR="0097640E">
        <w:rPr>
          <w:rFonts w:cstheme="minorHAnsi"/>
          <w:shd w:val="clear" w:color="auto" w:fill="FFFFFF"/>
          <w:lang w:val="en-GB"/>
        </w:rPr>
        <w:t xml:space="preserve"> </w:t>
      </w:r>
      <w:r w:rsidR="00863202" w:rsidRPr="00664838">
        <w:rPr>
          <w:rFonts w:cstheme="minorHAnsi"/>
          <w:shd w:val="clear" w:color="auto" w:fill="FFFFFF"/>
          <w:lang w:val="en-GB"/>
        </w:rPr>
        <w:t>textiles ecosystem.</w:t>
      </w:r>
    </w:p>
    <w:p w14:paraId="79BAE01B" w14:textId="0706366C" w:rsidR="0088180F" w:rsidRDefault="0088180F" w:rsidP="004522B6">
      <w:pPr>
        <w:spacing w:line="276" w:lineRule="auto"/>
        <w:rPr>
          <w:rFonts w:cs="Calibri"/>
          <w:b/>
          <w:lang w:val="en-GB"/>
        </w:rPr>
      </w:pPr>
    </w:p>
    <w:p w14:paraId="14628655" w14:textId="22C82E17" w:rsidR="00533ACA" w:rsidRDefault="00533ACA" w:rsidP="004522B6">
      <w:pPr>
        <w:spacing w:line="276" w:lineRule="auto"/>
        <w:rPr>
          <w:rFonts w:cs="Calibri"/>
          <w:b/>
          <w:lang w:val="en-GB"/>
        </w:rPr>
      </w:pPr>
    </w:p>
    <w:p w14:paraId="749CFF92" w14:textId="46056E5D" w:rsidR="00533ACA" w:rsidRDefault="00533ACA" w:rsidP="004522B6">
      <w:pPr>
        <w:spacing w:line="276" w:lineRule="auto"/>
        <w:rPr>
          <w:rFonts w:cs="Calibri"/>
          <w:b/>
          <w:lang w:val="en-GB"/>
        </w:rPr>
      </w:pPr>
    </w:p>
    <w:p w14:paraId="5967B608" w14:textId="77777777" w:rsidR="00533ACA" w:rsidRPr="00664838" w:rsidRDefault="00533ACA" w:rsidP="004522B6">
      <w:pPr>
        <w:spacing w:line="276" w:lineRule="auto"/>
        <w:rPr>
          <w:rFonts w:cs="Calibri"/>
          <w:b/>
          <w:lang w:val="en-GB"/>
        </w:rPr>
      </w:pPr>
    </w:p>
    <w:p w14:paraId="040DEAD2" w14:textId="77777777" w:rsidR="00664838" w:rsidRDefault="004E0F01" w:rsidP="004522B6">
      <w:pPr>
        <w:spacing w:line="276" w:lineRule="auto"/>
        <w:rPr>
          <w:rFonts w:cs="Calibri"/>
          <w:b/>
          <w:lang w:val="en-GB"/>
        </w:rPr>
      </w:pPr>
      <w:r w:rsidRPr="00664838">
        <w:rPr>
          <w:rFonts w:cs="Calibri"/>
          <w:b/>
          <w:lang w:val="en-GB"/>
        </w:rPr>
        <w:lastRenderedPageBreak/>
        <w:t xml:space="preserve">Dirk Vantyghem, Director General of Euratex, said: </w:t>
      </w:r>
    </w:p>
    <w:p w14:paraId="10782323" w14:textId="65E5B943" w:rsidR="004E0F01" w:rsidRDefault="005101CD" w:rsidP="00533ACA">
      <w:pPr>
        <w:spacing w:line="276" w:lineRule="auto"/>
        <w:jc w:val="both"/>
        <w:rPr>
          <w:rFonts w:cs="Calibri"/>
          <w:bCs/>
          <w:i/>
          <w:iCs/>
          <w:lang w:val="en-GB"/>
        </w:rPr>
      </w:pPr>
      <w:r w:rsidRPr="00664838">
        <w:rPr>
          <w:rFonts w:cs="Calibri"/>
          <w:bCs/>
          <w:i/>
          <w:iCs/>
          <w:lang w:val="en-GB"/>
        </w:rPr>
        <w:t>“We look forward to work</w:t>
      </w:r>
      <w:r w:rsidR="00982F95">
        <w:rPr>
          <w:rFonts w:cs="Calibri"/>
          <w:bCs/>
          <w:i/>
          <w:iCs/>
          <w:lang w:val="en-GB"/>
        </w:rPr>
        <w:t>ing</w:t>
      </w:r>
      <w:r w:rsidRPr="00664838">
        <w:rPr>
          <w:rFonts w:cs="Calibri"/>
          <w:bCs/>
          <w:i/>
          <w:iCs/>
          <w:lang w:val="en-GB"/>
        </w:rPr>
        <w:t xml:space="preserve"> with the </w:t>
      </w:r>
      <w:r w:rsidR="00982F95">
        <w:rPr>
          <w:rFonts w:cs="Calibri"/>
          <w:bCs/>
          <w:i/>
          <w:iCs/>
          <w:lang w:val="en-GB"/>
        </w:rPr>
        <w:t>S</w:t>
      </w:r>
      <w:r w:rsidRPr="00664838">
        <w:rPr>
          <w:rFonts w:cs="Calibri"/>
          <w:bCs/>
          <w:i/>
          <w:iCs/>
          <w:lang w:val="en-GB"/>
        </w:rPr>
        <w:t xml:space="preserve">ocial </w:t>
      </w:r>
      <w:r w:rsidR="00982F95">
        <w:rPr>
          <w:rFonts w:cs="Calibri"/>
          <w:bCs/>
          <w:i/>
          <w:iCs/>
          <w:lang w:val="en-GB"/>
        </w:rPr>
        <w:t>P</w:t>
      </w:r>
      <w:r w:rsidRPr="00664838">
        <w:rPr>
          <w:rFonts w:cs="Calibri"/>
          <w:bCs/>
          <w:i/>
          <w:iCs/>
          <w:lang w:val="en-GB"/>
        </w:rPr>
        <w:t xml:space="preserve">artners and the EU institutions to roll out a coherent and effective strategy for our industry. We </w:t>
      </w:r>
      <w:r w:rsidR="000F1BC3" w:rsidRPr="00664838">
        <w:rPr>
          <w:rFonts w:cs="Calibri"/>
          <w:bCs/>
          <w:i/>
          <w:iCs/>
          <w:lang w:val="en-GB"/>
        </w:rPr>
        <w:t>need to build a new business model, based on quality, sustainability and innovation. Our companies should operate in open and fair markets.”</w:t>
      </w:r>
    </w:p>
    <w:p w14:paraId="15EE2F7F" w14:textId="77777777" w:rsidR="00533ACA" w:rsidRPr="00664838" w:rsidRDefault="00533ACA" w:rsidP="004522B6">
      <w:pPr>
        <w:spacing w:line="276" w:lineRule="auto"/>
        <w:rPr>
          <w:rFonts w:cs="Calibri"/>
          <w:bCs/>
          <w:i/>
          <w:iCs/>
          <w:lang w:val="en-GB"/>
        </w:rPr>
      </w:pPr>
    </w:p>
    <w:p w14:paraId="121B9754" w14:textId="77777777" w:rsidR="00664838" w:rsidRDefault="004E0F01" w:rsidP="00664838">
      <w:pPr>
        <w:spacing w:line="276" w:lineRule="auto"/>
        <w:jc w:val="both"/>
        <w:rPr>
          <w:rFonts w:cs="Calibri"/>
          <w:b/>
          <w:lang w:val="en-GB"/>
        </w:rPr>
      </w:pPr>
      <w:r w:rsidRPr="00664838">
        <w:rPr>
          <w:rFonts w:cs="Calibri"/>
          <w:b/>
          <w:lang w:val="en-GB"/>
        </w:rPr>
        <w:t xml:space="preserve">Carmen Arias, General Secretary of CEC, said: </w:t>
      </w:r>
    </w:p>
    <w:p w14:paraId="21C021C7" w14:textId="72E34098" w:rsidR="004E0F01" w:rsidRDefault="001421CD" w:rsidP="00664838">
      <w:pPr>
        <w:spacing w:line="276" w:lineRule="auto"/>
        <w:jc w:val="both"/>
        <w:rPr>
          <w:rFonts w:cs="Calibri"/>
          <w:bCs/>
          <w:i/>
          <w:iCs/>
          <w:lang w:val="en-GB"/>
        </w:rPr>
      </w:pPr>
      <w:r w:rsidRPr="00664838">
        <w:rPr>
          <w:rFonts w:cs="Calibri"/>
          <w:bCs/>
          <w:i/>
          <w:iCs/>
          <w:lang w:val="en-GB"/>
        </w:rPr>
        <w:t xml:space="preserve">“Representing more than 95% of our sectors, </w:t>
      </w:r>
      <w:r w:rsidRPr="00664838">
        <w:rPr>
          <w:rFonts w:cstheme="minorHAnsi"/>
          <w:bCs/>
          <w:i/>
          <w:iCs/>
          <w:lang w:val="en-US"/>
        </w:rPr>
        <w:t xml:space="preserve">SMEs are the main target of the updated Industrial Strategy. They need </w:t>
      </w:r>
      <w:r w:rsidRPr="00664838">
        <w:rPr>
          <w:rFonts w:eastAsia="Times New Roman" w:cstheme="minorHAnsi"/>
          <w:bCs/>
          <w:i/>
          <w:iCs/>
          <w:color w:val="000000"/>
          <w:lang w:val="en-US" w:eastAsia="en-GB"/>
        </w:rPr>
        <w:t>tailored and easily accessible financial support</w:t>
      </w:r>
      <w:r w:rsidR="00982F95">
        <w:rPr>
          <w:rFonts w:eastAsia="Times New Roman" w:cstheme="minorHAnsi"/>
          <w:bCs/>
          <w:i/>
          <w:iCs/>
          <w:color w:val="000000"/>
          <w:lang w:val="en-US" w:eastAsia="en-GB"/>
        </w:rPr>
        <w:t>,</w:t>
      </w:r>
      <w:r w:rsidRPr="00664838">
        <w:rPr>
          <w:rFonts w:eastAsia="Times New Roman" w:cstheme="minorHAnsi"/>
          <w:bCs/>
          <w:i/>
          <w:iCs/>
          <w:color w:val="000000"/>
          <w:lang w:val="en-US" w:eastAsia="en-GB"/>
        </w:rPr>
        <w:t xml:space="preserve"> as well as proportionate measures to enable them to lead the twin </w:t>
      </w:r>
      <w:r w:rsidRPr="00C43BEA">
        <w:rPr>
          <w:rFonts w:eastAsia="Times New Roman" w:cstheme="minorHAnsi"/>
          <w:bCs/>
          <w:i/>
          <w:iCs/>
          <w:color w:val="000000"/>
          <w:lang w:val="en-US" w:eastAsia="en-GB"/>
        </w:rPr>
        <w:t>transition.</w:t>
      </w:r>
      <w:r w:rsidRPr="00664838">
        <w:rPr>
          <w:rFonts w:eastAsia="Times New Roman" w:cstheme="minorHAnsi"/>
          <w:bCs/>
          <w:i/>
          <w:iCs/>
          <w:color w:val="000000"/>
          <w:lang w:val="en-US" w:eastAsia="en-GB"/>
        </w:rPr>
        <w:t xml:space="preserve"> We can build a more resilient ecosystem</w:t>
      </w:r>
      <w:r w:rsidRPr="00664838">
        <w:rPr>
          <w:rFonts w:cs="Calibri"/>
          <w:bCs/>
          <w:i/>
          <w:iCs/>
          <w:lang w:val="en-GB"/>
        </w:rPr>
        <w:t xml:space="preserve"> by ensuring that the </w:t>
      </w:r>
      <w:r w:rsidR="0097640E" w:rsidRPr="00664838">
        <w:rPr>
          <w:rFonts w:cs="Calibri"/>
          <w:bCs/>
          <w:i/>
          <w:iCs/>
          <w:lang w:val="en-GB"/>
        </w:rPr>
        <w:t>specificit</w:t>
      </w:r>
      <w:r w:rsidR="0097640E">
        <w:rPr>
          <w:rFonts w:cs="Calibri"/>
          <w:bCs/>
          <w:i/>
          <w:iCs/>
          <w:lang w:val="en-GB"/>
        </w:rPr>
        <w:t>y</w:t>
      </w:r>
      <w:r w:rsidRPr="00664838">
        <w:rPr>
          <w:rFonts w:cs="Calibri"/>
          <w:bCs/>
          <w:i/>
          <w:iCs/>
          <w:lang w:val="en-GB"/>
        </w:rPr>
        <w:t xml:space="preserve"> </w:t>
      </w:r>
      <w:r w:rsidR="0004312F">
        <w:rPr>
          <w:rFonts w:cs="Calibri"/>
          <w:bCs/>
          <w:i/>
          <w:iCs/>
          <w:lang w:val="en-GB"/>
        </w:rPr>
        <w:t xml:space="preserve">and needs </w:t>
      </w:r>
      <w:r w:rsidRPr="00664838">
        <w:rPr>
          <w:rFonts w:cs="Calibri"/>
          <w:bCs/>
          <w:i/>
          <w:iCs/>
          <w:lang w:val="en-GB"/>
        </w:rPr>
        <w:t xml:space="preserve">of our industries </w:t>
      </w:r>
      <w:r w:rsidR="0004312F">
        <w:rPr>
          <w:rFonts w:cs="Calibri"/>
          <w:bCs/>
          <w:i/>
          <w:iCs/>
          <w:lang w:val="en-GB"/>
        </w:rPr>
        <w:t xml:space="preserve">are </w:t>
      </w:r>
      <w:r w:rsidRPr="00664838">
        <w:rPr>
          <w:rFonts w:cs="Calibri"/>
          <w:bCs/>
          <w:i/>
          <w:iCs/>
          <w:lang w:val="en-GB"/>
        </w:rPr>
        <w:t>considered in the development</w:t>
      </w:r>
      <w:r w:rsidR="00AB6C54" w:rsidRPr="00664838">
        <w:rPr>
          <w:rFonts w:cs="Calibri"/>
          <w:bCs/>
          <w:i/>
          <w:iCs/>
          <w:lang w:val="en-GB"/>
        </w:rPr>
        <w:t xml:space="preserve"> and implementation</w:t>
      </w:r>
      <w:r w:rsidRPr="00664838">
        <w:rPr>
          <w:rFonts w:cs="Calibri"/>
          <w:bCs/>
          <w:i/>
          <w:iCs/>
          <w:lang w:val="en-GB"/>
        </w:rPr>
        <w:t xml:space="preserve"> of the Strategy</w:t>
      </w:r>
      <w:r w:rsidR="0081769C" w:rsidRPr="0081769C">
        <w:rPr>
          <w:rFonts w:cs="Calibri"/>
          <w:bCs/>
          <w:i/>
          <w:iCs/>
          <w:lang w:val="en-GB"/>
        </w:rPr>
        <w:t xml:space="preserve"> </w:t>
      </w:r>
      <w:r w:rsidR="0081769C" w:rsidRPr="00664838">
        <w:rPr>
          <w:rFonts w:cs="Calibri"/>
          <w:bCs/>
          <w:i/>
          <w:iCs/>
          <w:lang w:val="en-GB"/>
        </w:rPr>
        <w:t>at regional, national and EU levels</w:t>
      </w:r>
      <w:r w:rsidRPr="00664838">
        <w:rPr>
          <w:rFonts w:cs="Calibri"/>
          <w:bCs/>
          <w:i/>
          <w:iCs/>
          <w:lang w:val="en-GB"/>
        </w:rPr>
        <w:t>.”</w:t>
      </w:r>
    </w:p>
    <w:p w14:paraId="4FB850F6" w14:textId="77777777" w:rsidR="00533ACA" w:rsidRDefault="00533ACA" w:rsidP="00664838">
      <w:pPr>
        <w:spacing w:line="276" w:lineRule="auto"/>
        <w:jc w:val="both"/>
        <w:rPr>
          <w:rFonts w:cs="Calibri"/>
          <w:bCs/>
          <w:i/>
          <w:iCs/>
          <w:lang w:val="en-GB"/>
        </w:rPr>
      </w:pPr>
    </w:p>
    <w:p w14:paraId="548D1543" w14:textId="77777777" w:rsidR="00664838" w:rsidRPr="00664838" w:rsidRDefault="004E0F01" w:rsidP="004522B6">
      <w:pPr>
        <w:spacing w:line="276" w:lineRule="auto"/>
        <w:rPr>
          <w:rFonts w:cs="Calibri"/>
          <w:b/>
          <w:lang w:val="en-GB"/>
        </w:rPr>
      </w:pPr>
      <w:r w:rsidRPr="00664838">
        <w:rPr>
          <w:rFonts w:cs="Calibri"/>
          <w:b/>
          <w:lang w:val="en-GB"/>
        </w:rPr>
        <w:t xml:space="preserve">Gustavo Gonzalez-Quijano, </w:t>
      </w:r>
      <w:r w:rsidR="004522B6" w:rsidRPr="00664838">
        <w:rPr>
          <w:rFonts w:cs="Calibri"/>
          <w:b/>
          <w:lang w:val="en-GB"/>
        </w:rPr>
        <w:t>Secretary</w:t>
      </w:r>
      <w:r w:rsidRPr="00664838">
        <w:rPr>
          <w:rFonts w:cs="Calibri"/>
          <w:b/>
          <w:lang w:val="en-GB"/>
        </w:rPr>
        <w:t xml:space="preserve"> General of </w:t>
      </w:r>
      <w:proofErr w:type="spellStart"/>
      <w:r w:rsidRPr="00664838">
        <w:rPr>
          <w:rFonts w:cs="Calibri"/>
          <w:b/>
          <w:lang w:val="en-GB"/>
        </w:rPr>
        <w:t>Cotance</w:t>
      </w:r>
      <w:proofErr w:type="spellEnd"/>
      <w:r w:rsidRPr="00664838">
        <w:rPr>
          <w:rFonts w:cs="Calibri"/>
          <w:b/>
          <w:lang w:val="en-GB"/>
        </w:rPr>
        <w:t xml:space="preserve">, said: </w:t>
      </w:r>
    </w:p>
    <w:p w14:paraId="50AC12E4" w14:textId="1F63EF38" w:rsidR="004E0F01" w:rsidRDefault="00781F82" w:rsidP="00533ACA">
      <w:pPr>
        <w:spacing w:line="276" w:lineRule="auto"/>
        <w:jc w:val="both"/>
        <w:rPr>
          <w:rFonts w:cs="Calibri"/>
          <w:bCs/>
          <w:i/>
          <w:iCs/>
          <w:lang w:val="en-GB"/>
        </w:rPr>
      </w:pPr>
      <w:r w:rsidRPr="00664838">
        <w:rPr>
          <w:rFonts w:cs="Calibri"/>
          <w:bCs/>
          <w:i/>
          <w:iCs/>
          <w:lang w:val="en-GB"/>
        </w:rPr>
        <w:t xml:space="preserve">“The companies and the people working in Europe’s TCLF </w:t>
      </w:r>
      <w:r w:rsidRPr="007076D7">
        <w:rPr>
          <w:rFonts w:cs="Calibri"/>
          <w:bCs/>
          <w:i/>
          <w:iCs/>
          <w:lang w:val="en-GB"/>
        </w:rPr>
        <w:t>ecosystem</w:t>
      </w:r>
      <w:r w:rsidRPr="00664838">
        <w:rPr>
          <w:rFonts w:cs="Calibri"/>
          <w:bCs/>
          <w:i/>
          <w:iCs/>
          <w:lang w:val="en-GB"/>
        </w:rPr>
        <w:t xml:space="preserve"> excel not only in generating wealth and jobs for our economy, </w:t>
      </w:r>
      <w:r w:rsidR="00982F95">
        <w:rPr>
          <w:rFonts w:cs="Calibri"/>
          <w:bCs/>
          <w:i/>
          <w:iCs/>
          <w:lang w:val="en-GB"/>
        </w:rPr>
        <w:t xml:space="preserve">but also </w:t>
      </w:r>
      <w:r w:rsidRPr="00664838">
        <w:rPr>
          <w:rFonts w:cs="Calibri"/>
          <w:bCs/>
          <w:i/>
          <w:iCs/>
          <w:lang w:val="en-GB"/>
        </w:rPr>
        <w:t xml:space="preserve">their creativity is a distinctive cultural feature that is unparalleled in the world. It is therefore essential that our regulators apply the utmost care in finding the right mix of incentives and directives for ensuring their sustainable development and that their service to </w:t>
      </w:r>
      <w:r w:rsidR="00982F95">
        <w:rPr>
          <w:rFonts w:cs="Calibri"/>
          <w:bCs/>
          <w:i/>
          <w:iCs/>
          <w:lang w:val="en-GB"/>
        </w:rPr>
        <w:t>s</w:t>
      </w:r>
      <w:r w:rsidRPr="00664838">
        <w:rPr>
          <w:rFonts w:cs="Calibri"/>
          <w:bCs/>
          <w:i/>
          <w:iCs/>
          <w:lang w:val="en-GB"/>
        </w:rPr>
        <w:t xml:space="preserve">ociety is not compromised.” </w:t>
      </w:r>
    </w:p>
    <w:p w14:paraId="39B2FB4E" w14:textId="77777777" w:rsidR="00533ACA" w:rsidRDefault="00533ACA" w:rsidP="005E3D86">
      <w:pPr>
        <w:spacing w:line="276" w:lineRule="auto"/>
        <w:rPr>
          <w:rFonts w:cs="Calibri"/>
          <w:b/>
          <w:lang w:val="en-GB"/>
        </w:rPr>
      </w:pPr>
    </w:p>
    <w:p w14:paraId="04E2088C" w14:textId="066A3EA1" w:rsidR="005E3D86" w:rsidRPr="00664838" w:rsidRDefault="005E3D86" w:rsidP="005E3D86">
      <w:pPr>
        <w:spacing w:line="276" w:lineRule="auto"/>
        <w:rPr>
          <w:rFonts w:cs="Calibri"/>
          <w:b/>
          <w:lang w:val="en-GB"/>
        </w:rPr>
      </w:pPr>
      <w:r w:rsidRPr="00664838">
        <w:rPr>
          <w:rFonts w:cs="Calibri"/>
          <w:b/>
          <w:lang w:val="en-GB"/>
        </w:rPr>
        <w:t>Judith Kirton‐Darling, Deputy General Secretary o</w:t>
      </w:r>
      <w:r w:rsidR="00982F95">
        <w:rPr>
          <w:rFonts w:cs="Calibri"/>
          <w:b/>
          <w:lang w:val="en-GB"/>
        </w:rPr>
        <w:t>f</w:t>
      </w:r>
      <w:r w:rsidRPr="00664838">
        <w:rPr>
          <w:rFonts w:cs="Calibri"/>
          <w:b/>
          <w:lang w:val="en-GB"/>
        </w:rPr>
        <w:t xml:space="preserve"> industriAll Europe,</w:t>
      </w:r>
      <w:r w:rsidRPr="00664838">
        <w:rPr>
          <w:rFonts w:cs="Calibri"/>
          <w:b/>
          <w:i/>
          <w:iCs/>
          <w:lang w:val="en-GB"/>
        </w:rPr>
        <w:t xml:space="preserve"> </w:t>
      </w:r>
      <w:r w:rsidRPr="00664838">
        <w:rPr>
          <w:rFonts w:cs="Calibri"/>
          <w:b/>
          <w:lang w:val="en-GB"/>
        </w:rPr>
        <w:t>said:</w:t>
      </w:r>
    </w:p>
    <w:p w14:paraId="6E6E9D9A" w14:textId="34F1589E" w:rsidR="005E3D86" w:rsidRDefault="005E3D86" w:rsidP="005E3D86">
      <w:pPr>
        <w:spacing w:line="276" w:lineRule="auto"/>
        <w:jc w:val="both"/>
        <w:rPr>
          <w:rFonts w:cs="Calibri"/>
          <w:bCs/>
          <w:i/>
          <w:iCs/>
          <w:lang w:val="en-GB"/>
        </w:rPr>
      </w:pPr>
      <w:r w:rsidRPr="003D46B9">
        <w:rPr>
          <w:rFonts w:cs="Calibri"/>
          <w:bCs/>
          <w:i/>
          <w:iCs/>
          <w:lang w:val="en-GB"/>
        </w:rPr>
        <w:t>‘’</w:t>
      </w:r>
      <w:r>
        <w:rPr>
          <w:rFonts w:cs="Calibri"/>
          <w:bCs/>
          <w:i/>
          <w:iCs/>
          <w:lang w:val="en-GB"/>
        </w:rPr>
        <w:t>The TCLF sectors in Europe employ over 2 million people, with many of these workers playing a crucial role during</w:t>
      </w:r>
      <w:r w:rsidR="00982F95">
        <w:rPr>
          <w:rFonts w:cs="Calibri"/>
          <w:bCs/>
          <w:i/>
          <w:iCs/>
          <w:lang w:val="en-GB"/>
        </w:rPr>
        <w:t xml:space="preserve"> the</w:t>
      </w:r>
      <w:r>
        <w:rPr>
          <w:rFonts w:cs="Calibri"/>
          <w:bCs/>
          <w:i/>
          <w:iCs/>
          <w:lang w:val="en-GB"/>
        </w:rPr>
        <w:t xml:space="preserve"> </w:t>
      </w:r>
      <w:r w:rsidRPr="003D46B9">
        <w:rPr>
          <w:rFonts w:cs="Calibri"/>
          <w:bCs/>
          <w:i/>
          <w:iCs/>
          <w:lang w:val="en-GB"/>
        </w:rPr>
        <w:t xml:space="preserve">COVID-19 </w:t>
      </w:r>
      <w:r>
        <w:rPr>
          <w:rFonts w:cs="Calibri"/>
          <w:bCs/>
          <w:i/>
          <w:iCs/>
          <w:lang w:val="en-GB"/>
        </w:rPr>
        <w:t>pandemic by producing personal protective equipment</w:t>
      </w:r>
      <w:r w:rsidR="00982F95">
        <w:rPr>
          <w:rFonts w:cs="Calibri"/>
          <w:bCs/>
          <w:i/>
          <w:iCs/>
          <w:lang w:val="en-GB"/>
        </w:rPr>
        <w:t>,</w:t>
      </w:r>
      <w:r>
        <w:rPr>
          <w:rFonts w:cs="Calibri"/>
          <w:bCs/>
          <w:i/>
          <w:iCs/>
          <w:lang w:val="en-GB"/>
        </w:rPr>
        <w:t xml:space="preserve"> such as masks and gowns. We owe it to these workers in Europe to make sure that the sector</w:t>
      </w:r>
      <w:r w:rsidR="00982F95">
        <w:rPr>
          <w:rFonts w:cs="Calibri"/>
          <w:bCs/>
          <w:i/>
          <w:iCs/>
          <w:lang w:val="en-GB"/>
        </w:rPr>
        <w:t>s</w:t>
      </w:r>
      <w:r>
        <w:rPr>
          <w:rFonts w:cs="Calibri"/>
          <w:bCs/>
          <w:i/>
          <w:iCs/>
          <w:lang w:val="en-GB"/>
        </w:rPr>
        <w:t xml:space="preserve"> come out of the pandemic ready to face the green and digital transition which is top of the EU’s ambitions. Workers are ready to meet these challenges and we call for investment in the factories and their workforces to ensure a positive and green future for the TCLF industries in Europe</w:t>
      </w:r>
      <w:r w:rsidR="006E176F">
        <w:rPr>
          <w:rFonts w:cs="Calibri"/>
          <w:bCs/>
          <w:i/>
          <w:iCs/>
          <w:lang w:val="en-GB"/>
        </w:rPr>
        <w:t>,</w:t>
      </w:r>
      <w:r>
        <w:rPr>
          <w:rFonts w:cs="Calibri"/>
          <w:bCs/>
          <w:i/>
          <w:iCs/>
          <w:lang w:val="en-GB"/>
        </w:rPr>
        <w:t xml:space="preserve"> with high quality and well paid jobs for its workers.’’ </w:t>
      </w:r>
    </w:p>
    <w:p w14:paraId="5373282D" w14:textId="77777777" w:rsidR="004522B6" w:rsidRDefault="004522B6" w:rsidP="004522B6">
      <w:pPr>
        <w:spacing w:line="276" w:lineRule="auto"/>
        <w:rPr>
          <w:rFonts w:cs="Calibri"/>
          <w:i/>
          <w:lang w:val="en-GB"/>
        </w:rPr>
      </w:pPr>
    </w:p>
    <w:p w14:paraId="29605972" w14:textId="0DE6345A" w:rsidR="003D46B9" w:rsidRPr="00533ACA" w:rsidRDefault="003D46B9" w:rsidP="004522B6">
      <w:pPr>
        <w:spacing w:line="276" w:lineRule="auto"/>
        <w:rPr>
          <w:rFonts w:cs="Calibri"/>
          <w:b/>
          <w:bCs/>
          <w:i/>
          <w:lang w:val="en-GB"/>
        </w:rPr>
      </w:pPr>
      <w:r w:rsidRPr="00533ACA">
        <w:rPr>
          <w:rFonts w:cs="Calibri"/>
          <w:b/>
          <w:bCs/>
          <w:i/>
          <w:lang w:val="en-GB"/>
        </w:rPr>
        <w:t xml:space="preserve">ENDS. </w:t>
      </w:r>
    </w:p>
    <w:p w14:paraId="70542F32" w14:textId="77777777" w:rsidR="003D46B9" w:rsidRPr="003D46B9" w:rsidRDefault="003D46B9" w:rsidP="004522B6">
      <w:pPr>
        <w:spacing w:line="276" w:lineRule="auto"/>
        <w:rPr>
          <w:rFonts w:cs="Calibri"/>
          <w:i/>
          <w:lang w:val="en-GB"/>
        </w:rPr>
      </w:pPr>
    </w:p>
    <w:p w14:paraId="68A387A0" w14:textId="77777777" w:rsidR="003D46B9" w:rsidRPr="003D46B9" w:rsidRDefault="003D46B9" w:rsidP="004522B6">
      <w:pPr>
        <w:spacing w:line="276" w:lineRule="auto"/>
        <w:rPr>
          <w:rFonts w:cs="Calibri"/>
          <w:b/>
          <w:i/>
          <w:lang w:val="en-GB"/>
        </w:rPr>
      </w:pPr>
      <w:r w:rsidRPr="003D46B9">
        <w:rPr>
          <w:rFonts w:cs="Calibri"/>
          <w:b/>
          <w:i/>
          <w:lang w:val="en-GB"/>
        </w:rPr>
        <w:t>Notes to the editor:</w:t>
      </w:r>
    </w:p>
    <w:p w14:paraId="6496E5B5" w14:textId="481518C6" w:rsidR="003D46B9" w:rsidRPr="003D46B9" w:rsidRDefault="003D46B9" w:rsidP="004522B6">
      <w:pPr>
        <w:spacing w:line="276" w:lineRule="auto"/>
        <w:rPr>
          <w:rFonts w:cs="Calibri"/>
          <w:bCs/>
          <w:iCs/>
          <w:highlight w:val="yellow"/>
          <w:lang w:val="en-GB"/>
        </w:rPr>
      </w:pPr>
      <w:r w:rsidRPr="004522B6">
        <w:rPr>
          <w:rFonts w:cs="Calibri"/>
          <w:bCs/>
          <w:iCs/>
          <w:lang w:val="en-GB"/>
        </w:rPr>
        <w:t xml:space="preserve">Please find a copy of the </w:t>
      </w:r>
      <w:r w:rsidR="00982F95">
        <w:rPr>
          <w:rFonts w:cs="Calibri"/>
          <w:bCs/>
          <w:iCs/>
          <w:lang w:val="en-GB"/>
        </w:rPr>
        <w:t>S</w:t>
      </w:r>
      <w:r w:rsidR="00982F95" w:rsidRPr="004522B6">
        <w:rPr>
          <w:rFonts w:cs="Calibri"/>
          <w:bCs/>
          <w:iCs/>
          <w:lang w:val="en-GB"/>
        </w:rPr>
        <w:t xml:space="preserve">ocial </w:t>
      </w:r>
      <w:r w:rsidR="00982F95">
        <w:rPr>
          <w:rFonts w:cs="Calibri"/>
          <w:bCs/>
          <w:iCs/>
          <w:lang w:val="en-GB"/>
        </w:rPr>
        <w:t>P</w:t>
      </w:r>
      <w:r w:rsidRPr="004522B6">
        <w:rPr>
          <w:rFonts w:cs="Calibri"/>
          <w:bCs/>
          <w:iCs/>
          <w:lang w:val="en-GB"/>
        </w:rPr>
        <w:t>artner’s joint statement (2</w:t>
      </w:r>
      <w:r w:rsidR="004522B6" w:rsidRPr="004522B6">
        <w:rPr>
          <w:rFonts w:cs="Calibri"/>
          <w:bCs/>
          <w:iCs/>
          <w:lang w:val="en-GB"/>
        </w:rPr>
        <w:t>8</w:t>
      </w:r>
      <w:r w:rsidRPr="004522B6">
        <w:rPr>
          <w:rFonts w:cs="Calibri"/>
          <w:bCs/>
          <w:iCs/>
          <w:lang w:val="en-GB"/>
        </w:rPr>
        <w:t xml:space="preserve">/05/2021) </w:t>
      </w:r>
      <w:r w:rsidRPr="003D46B9">
        <w:rPr>
          <w:rFonts w:cs="Calibri"/>
          <w:bCs/>
          <w:iCs/>
          <w:highlight w:val="yellow"/>
          <w:lang w:val="en-GB"/>
        </w:rPr>
        <w:t>HERE.</w:t>
      </w:r>
    </w:p>
    <w:p w14:paraId="1D89A5F8" w14:textId="2E78A6F1" w:rsidR="003D46B9" w:rsidRDefault="003D46B9" w:rsidP="00C415DD">
      <w:pPr>
        <w:spacing w:line="276" w:lineRule="auto"/>
        <w:rPr>
          <w:rFonts w:cstheme="minorHAnsi"/>
          <w:color w:val="0E101A"/>
          <w:lang w:val="en-GB"/>
        </w:rPr>
      </w:pPr>
      <w:r w:rsidRPr="004522B6">
        <w:rPr>
          <w:rFonts w:cs="Calibri"/>
          <w:bCs/>
          <w:iCs/>
          <w:lang w:val="en-GB"/>
        </w:rPr>
        <w:t xml:space="preserve">Please find a copy of the </w:t>
      </w:r>
      <w:r w:rsidR="00982F95">
        <w:rPr>
          <w:rFonts w:cs="Calibri"/>
          <w:bCs/>
          <w:iCs/>
          <w:lang w:val="en-GB"/>
        </w:rPr>
        <w:t>S</w:t>
      </w:r>
      <w:r w:rsidR="00982F95" w:rsidRPr="004522B6">
        <w:rPr>
          <w:rFonts w:cs="Calibri"/>
          <w:bCs/>
          <w:iCs/>
          <w:lang w:val="en-GB"/>
        </w:rPr>
        <w:t xml:space="preserve">ocial </w:t>
      </w:r>
      <w:r w:rsidR="00982F95">
        <w:rPr>
          <w:rFonts w:cs="Calibri"/>
          <w:bCs/>
          <w:iCs/>
          <w:lang w:val="en-GB"/>
        </w:rPr>
        <w:t>P</w:t>
      </w:r>
      <w:r w:rsidR="00982F95" w:rsidRPr="004522B6">
        <w:rPr>
          <w:rFonts w:cs="Calibri"/>
          <w:bCs/>
          <w:iCs/>
          <w:lang w:val="en-GB"/>
        </w:rPr>
        <w:t xml:space="preserve">artner’s </w:t>
      </w:r>
      <w:r w:rsidRPr="004522B6">
        <w:rPr>
          <w:rFonts w:cs="Calibri"/>
          <w:bCs/>
          <w:iCs/>
          <w:lang w:val="en-GB"/>
        </w:rPr>
        <w:t>joint manifesto (20</w:t>
      </w:r>
      <w:r w:rsidR="004522B6" w:rsidRPr="004522B6">
        <w:rPr>
          <w:rFonts w:cs="Calibri"/>
          <w:bCs/>
          <w:iCs/>
          <w:lang w:val="en-GB"/>
        </w:rPr>
        <w:t>20</w:t>
      </w:r>
      <w:r w:rsidRPr="004522B6">
        <w:rPr>
          <w:rFonts w:cs="Calibri"/>
          <w:bCs/>
          <w:iCs/>
          <w:lang w:val="en-GB"/>
        </w:rPr>
        <w:t>)</w:t>
      </w:r>
      <w:r w:rsidR="004522B6" w:rsidRPr="004522B6">
        <w:rPr>
          <w:rFonts w:cs="Calibri"/>
          <w:bCs/>
          <w:iCs/>
          <w:lang w:val="en-GB"/>
        </w:rPr>
        <w:t xml:space="preserve"> </w:t>
      </w:r>
      <w:hyperlink r:id="rId11" w:history="1">
        <w:r w:rsidR="004522B6" w:rsidRPr="004522B6">
          <w:rPr>
            <w:rStyle w:val="Hyperlink"/>
            <w:rFonts w:cs="Calibri"/>
            <w:bCs/>
            <w:iCs/>
            <w:lang w:val="en-GB"/>
          </w:rPr>
          <w:t>HERE</w:t>
        </w:r>
      </w:hyperlink>
      <w:r w:rsidR="004522B6" w:rsidRPr="004522B6">
        <w:rPr>
          <w:rFonts w:cs="Calibri"/>
          <w:bCs/>
          <w:iCs/>
          <w:lang w:val="en-GB"/>
        </w:rPr>
        <w:t>.</w:t>
      </w:r>
      <w:r w:rsidR="004522B6">
        <w:rPr>
          <w:rFonts w:cs="Calibri"/>
          <w:bCs/>
          <w:iCs/>
          <w:lang w:val="en-GB"/>
        </w:rPr>
        <w:t xml:space="preserve"> </w:t>
      </w:r>
    </w:p>
    <w:sectPr w:rsidR="003D46B9" w:rsidSect="004B2BD4">
      <w:headerReference w:type="default" r:id="rId12"/>
      <w:footerReference w:type="default" r:id="rId13"/>
      <w:pgSz w:w="11906" w:h="16838"/>
      <w:pgMar w:top="2098" w:right="1417" w:bottom="851" w:left="1417" w:header="708"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E950F" w14:textId="77777777" w:rsidR="003C3F4E" w:rsidRDefault="003C3F4E" w:rsidP="003A6EC8">
      <w:pPr>
        <w:spacing w:after="0" w:line="240" w:lineRule="auto"/>
      </w:pPr>
      <w:r>
        <w:separator/>
      </w:r>
    </w:p>
  </w:endnote>
  <w:endnote w:type="continuationSeparator" w:id="0">
    <w:p w14:paraId="0A27E9F3" w14:textId="77777777" w:rsidR="003C3F4E" w:rsidRDefault="003C3F4E" w:rsidP="003A6EC8">
      <w:pPr>
        <w:spacing w:after="0" w:line="240" w:lineRule="auto"/>
      </w:pPr>
      <w:r>
        <w:continuationSeparator/>
      </w:r>
    </w:p>
  </w:endnote>
  <w:endnote w:type="continuationNotice" w:id="1">
    <w:p w14:paraId="0C59F26C" w14:textId="77777777" w:rsidR="003C3F4E" w:rsidRDefault="003C3F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B968" w14:textId="148C59F7" w:rsidR="003A7A99" w:rsidRPr="003A7A99" w:rsidRDefault="003C3F4E" w:rsidP="003A7A99">
    <w:pPr>
      <w:pStyle w:val="Footer"/>
      <w:jc w:val="right"/>
      <w:rPr>
        <w:sz w:val="18"/>
        <w:szCs w:val="18"/>
        <w:lang w:val="es-ES"/>
      </w:rPr>
    </w:pPr>
    <w:sdt>
      <w:sdtPr>
        <w:rPr>
          <w:sz w:val="18"/>
          <w:szCs w:val="18"/>
          <w:lang w:val="es-ES"/>
        </w:rPr>
        <w:id w:val="-1427804549"/>
        <w:docPartObj>
          <w:docPartGallery w:val="Page Numbers (Bottom of Page)"/>
          <w:docPartUnique/>
        </w:docPartObj>
      </w:sdtPr>
      <w:sdtEndPr/>
      <w:sdtContent>
        <w:sdt>
          <w:sdtPr>
            <w:rPr>
              <w:sz w:val="18"/>
              <w:szCs w:val="18"/>
              <w:lang w:val="es-ES"/>
            </w:rPr>
            <w:id w:val="-1769616900"/>
            <w:docPartObj>
              <w:docPartGallery w:val="Page Numbers (Top of Page)"/>
              <w:docPartUnique/>
            </w:docPartObj>
          </w:sdtPr>
          <w:sdtEndPr/>
          <w:sdtContent>
            <w:r w:rsidR="003A7A99" w:rsidRPr="003A7A99">
              <w:rPr>
                <w:sz w:val="18"/>
                <w:szCs w:val="18"/>
                <w:lang w:val="es-ES"/>
              </w:rPr>
              <w:t xml:space="preserve">Page </w:t>
            </w:r>
            <w:r w:rsidR="003A7A99" w:rsidRPr="003A7A99">
              <w:rPr>
                <w:b/>
                <w:bCs/>
                <w:sz w:val="18"/>
                <w:szCs w:val="18"/>
                <w:lang w:val="es-ES"/>
              </w:rPr>
              <w:fldChar w:fldCharType="begin"/>
            </w:r>
            <w:r w:rsidR="003A7A99" w:rsidRPr="003A7A99">
              <w:rPr>
                <w:b/>
                <w:bCs/>
                <w:sz w:val="18"/>
                <w:szCs w:val="18"/>
                <w:lang w:val="es-ES"/>
              </w:rPr>
              <w:instrText xml:space="preserve"> PAGE </w:instrText>
            </w:r>
            <w:r w:rsidR="003A7A99" w:rsidRPr="003A7A99">
              <w:rPr>
                <w:b/>
                <w:bCs/>
                <w:sz w:val="18"/>
                <w:szCs w:val="18"/>
                <w:lang w:val="es-ES"/>
              </w:rPr>
              <w:fldChar w:fldCharType="separate"/>
            </w:r>
            <w:r w:rsidR="003A7A99" w:rsidRPr="003A7A99">
              <w:rPr>
                <w:b/>
                <w:bCs/>
                <w:sz w:val="18"/>
                <w:szCs w:val="18"/>
                <w:lang w:val="es-ES"/>
              </w:rPr>
              <w:t>1</w:t>
            </w:r>
            <w:r w:rsidR="003A7A99" w:rsidRPr="003A7A99">
              <w:rPr>
                <w:b/>
                <w:bCs/>
                <w:sz w:val="18"/>
                <w:szCs w:val="18"/>
                <w:lang w:val="es-ES"/>
              </w:rPr>
              <w:fldChar w:fldCharType="end"/>
            </w:r>
            <w:r w:rsidR="003A7A99" w:rsidRPr="003A7A99">
              <w:rPr>
                <w:sz w:val="18"/>
                <w:szCs w:val="18"/>
                <w:lang w:val="es-ES"/>
              </w:rPr>
              <w:t xml:space="preserve"> of </w:t>
            </w:r>
            <w:r w:rsidR="003A7A99" w:rsidRPr="003A7A99">
              <w:rPr>
                <w:b/>
                <w:bCs/>
                <w:sz w:val="18"/>
                <w:szCs w:val="18"/>
                <w:lang w:val="es-ES"/>
              </w:rPr>
              <w:fldChar w:fldCharType="begin"/>
            </w:r>
            <w:r w:rsidR="003A7A99" w:rsidRPr="003A7A99">
              <w:rPr>
                <w:b/>
                <w:bCs/>
                <w:sz w:val="18"/>
                <w:szCs w:val="18"/>
                <w:lang w:val="es-ES"/>
              </w:rPr>
              <w:instrText xml:space="preserve"> NUMPAGES  </w:instrText>
            </w:r>
            <w:r w:rsidR="003A7A99" w:rsidRPr="003A7A99">
              <w:rPr>
                <w:b/>
                <w:bCs/>
                <w:sz w:val="18"/>
                <w:szCs w:val="18"/>
                <w:lang w:val="es-ES"/>
              </w:rPr>
              <w:fldChar w:fldCharType="separate"/>
            </w:r>
            <w:r w:rsidR="003A7A99" w:rsidRPr="003A7A99">
              <w:rPr>
                <w:b/>
                <w:bCs/>
                <w:sz w:val="18"/>
                <w:szCs w:val="18"/>
                <w:lang w:val="es-ES"/>
              </w:rPr>
              <w:t>9</w:t>
            </w:r>
            <w:r w:rsidR="003A7A99" w:rsidRPr="003A7A99">
              <w:rPr>
                <w:b/>
                <w:bCs/>
                <w:sz w:val="18"/>
                <w:szCs w:val="18"/>
                <w:lang w:val="es-ES"/>
              </w:rPr>
              <w:fldChar w:fldCharType="end"/>
            </w:r>
          </w:sdtContent>
        </w:sdt>
      </w:sdtContent>
    </w:sdt>
  </w:p>
  <w:p w14:paraId="7828C303" w14:textId="74E3C42A" w:rsidR="004B2BD4" w:rsidRDefault="004B2BD4">
    <w:pPr>
      <w:pStyle w:val="Footer"/>
      <w:jc w:val="center"/>
    </w:pPr>
  </w:p>
  <w:p w14:paraId="3DB5AB86" w14:textId="77777777" w:rsidR="004B2BD4" w:rsidRDefault="004B2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FB5AB" w14:textId="77777777" w:rsidR="003C3F4E" w:rsidRDefault="003C3F4E" w:rsidP="003A6EC8">
      <w:pPr>
        <w:spacing w:after="0" w:line="240" w:lineRule="auto"/>
      </w:pPr>
      <w:r>
        <w:separator/>
      </w:r>
    </w:p>
  </w:footnote>
  <w:footnote w:type="continuationSeparator" w:id="0">
    <w:p w14:paraId="66F1E030" w14:textId="77777777" w:rsidR="003C3F4E" w:rsidRDefault="003C3F4E" w:rsidP="003A6EC8">
      <w:pPr>
        <w:spacing w:after="0" w:line="240" w:lineRule="auto"/>
      </w:pPr>
      <w:r>
        <w:continuationSeparator/>
      </w:r>
    </w:p>
  </w:footnote>
  <w:footnote w:type="continuationNotice" w:id="1">
    <w:p w14:paraId="755525E8" w14:textId="77777777" w:rsidR="003C3F4E" w:rsidRDefault="003C3F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282D" w14:textId="3119D6C9" w:rsidR="004479E3" w:rsidRDefault="00B15EE6" w:rsidP="004479E3">
    <w:pPr>
      <w:pStyle w:val="Header"/>
    </w:pPr>
    <w:r>
      <w:rPr>
        <w:noProof/>
      </w:rPr>
      <w:drawing>
        <wp:anchor distT="0" distB="0" distL="114300" distR="114300" simplePos="0" relativeHeight="251660288" behindDoc="1" locked="0" layoutInCell="1" allowOverlap="1" wp14:anchorId="542ACC70" wp14:editId="6A2A277B">
          <wp:simplePos x="0" y="0"/>
          <wp:positionH relativeFrom="column">
            <wp:posOffset>3019743</wp:posOffset>
          </wp:positionH>
          <wp:positionV relativeFrom="paragraph">
            <wp:posOffset>-225743</wp:posOffset>
          </wp:positionV>
          <wp:extent cx="876300"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atex logo.png"/>
                  <pic:cNvPicPr/>
                </pic:nvPicPr>
                <pic:blipFill>
                  <a:blip r:embed="rId1">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4BF38D" wp14:editId="3E9E9221">
          <wp:simplePos x="0" y="0"/>
          <wp:positionH relativeFrom="column">
            <wp:posOffset>1905318</wp:posOffset>
          </wp:positionH>
          <wp:positionV relativeFrom="paragraph">
            <wp:posOffset>-178117</wp:posOffset>
          </wp:positionV>
          <wp:extent cx="816610" cy="816610"/>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ance logo.png"/>
                  <pic:cNvPicPr/>
                </pic:nvPicPr>
                <pic:blipFill>
                  <a:blip r:embed="rId2">
                    <a:extLst>
                      <a:ext uri="{28A0092B-C50C-407E-A947-70E740481C1C}">
                        <a14:useLocalDpi xmlns:a14="http://schemas.microsoft.com/office/drawing/2010/main" val="0"/>
                      </a:ext>
                    </a:extLst>
                  </a:blip>
                  <a:stretch>
                    <a:fillRect/>
                  </a:stretch>
                </pic:blipFill>
                <pic:spPr>
                  <a:xfrm>
                    <a:off x="0" y="0"/>
                    <a:ext cx="816897" cy="8168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42F77D0" wp14:editId="133F39A9">
          <wp:extent cx="1522713" cy="585788"/>
          <wp:effectExtent l="0" t="0" r="190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0747" cy="588879"/>
                  </a:xfrm>
                  <a:prstGeom prst="rect">
                    <a:avLst/>
                  </a:prstGeom>
                  <a:noFill/>
                  <a:ln>
                    <a:noFill/>
                  </a:ln>
                </pic:spPr>
              </pic:pic>
            </a:graphicData>
          </a:graphic>
        </wp:inline>
      </w:drawing>
    </w:r>
    <w:r w:rsidR="004575A5">
      <w:rPr>
        <w:noProof/>
      </w:rPr>
      <w:drawing>
        <wp:anchor distT="0" distB="0" distL="114300" distR="114300" simplePos="0" relativeHeight="251658240" behindDoc="0" locked="0" layoutInCell="1" allowOverlap="1" wp14:anchorId="415DA2B6" wp14:editId="19506C34">
          <wp:simplePos x="0" y="0"/>
          <wp:positionH relativeFrom="column">
            <wp:posOffset>4319905</wp:posOffset>
          </wp:positionH>
          <wp:positionV relativeFrom="paragraph">
            <wp:posOffset>-279400</wp:posOffset>
          </wp:positionV>
          <wp:extent cx="1676400" cy="7975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ustriall-logo-extra_large.jpg"/>
                  <pic:cNvPicPr/>
                </pic:nvPicPr>
                <pic:blipFill>
                  <a:blip r:embed="rId4">
                    <a:extLst>
                      <a:ext uri="{28A0092B-C50C-407E-A947-70E740481C1C}">
                        <a14:useLocalDpi xmlns:a14="http://schemas.microsoft.com/office/drawing/2010/main" val="0"/>
                      </a:ext>
                    </a:extLst>
                  </a:blip>
                  <a:stretch>
                    <a:fillRect/>
                  </a:stretch>
                </pic:blipFill>
                <pic:spPr>
                  <a:xfrm>
                    <a:off x="0" y="0"/>
                    <a:ext cx="1676400" cy="797560"/>
                  </a:xfrm>
                  <a:prstGeom prst="rect">
                    <a:avLst/>
                  </a:prstGeom>
                </pic:spPr>
              </pic:pic>
            </a:graphicData>
          </a:graphic>
          <wp14:sizeRelH relativeFrom="margin">
            <wp14:pctWidth>0</wp14:pctWidth>
          </wp14:sizeRelH>
          <wp14:sizeRelV relativeFrom="margin">
            <wp14:pctHeight>0</wp14:pctHeight>
          </wp14:sizeRelV>
        </wp:anchor>
      </w:drawing>
    </w:r>
  </w:p>
  <w:p w14:paraId="130EA790" w14:textId="456EEF08" w:rsidR="004479E3" w:rsidRDefault="004479E3">
    <w:pPr>
      <w:pStyle w:val="Header"/>
    </w:pPr>
  </w:p>
  <w:p w14:paraId="42F6F8C5" w14:textId="648EEE6E" w:rsidR="000A4B88" w:rsidRPr="00C415DD" w:rsidRDefault="000A4B88" w:rsidP="003D46B9">
    <w:pPr>
      <w:pStyle w:val="Header"/>
      <w:jc w:val="center"/>
      <w:rPr>
        <w:rFonts w:cs="Calibri"/>
        <w:b/>
        <w:sz w:val="24"/>
        <w:szCs w:val="24"/>
        <w:lang w:val="en-GB"/>
      </w:rPr>
    </w:pPr>
    <w:r w:rsidRPr="00C415DD">
      <w:rPr>
        <w:rFonts w:cs="Calibri"/>
        <w:b/>
        <w:sz w:val="24"/>
        <w:szCs w:val="24"/>
        <w:lang w:val="en-GB"/>
      </w:rPr>
      <w:t xml:space="preserve">Joint Press Release: </w:t>
    </w:r>
    <w:r w:rsidR="00982F95">
      <w:rPr>
        <w:rFonts w:cs="Calibri"/>
        <w:b/>
        <w:sz w:val="24"/>
        <w:szCs w:val="24"/>
        <w:lang w:val="en-GB"/>
      </w:rPr>
      <w:t>F</w:t>
    </w:r>
    <w:r w:rsidRPr="000A4B88">
      <w:rPr>
        <w:rFonts w:cs="Calibri"/>
        <w:b/>
        <w:sz w:val="24"/>
        <w:szCs w:val="24"/>
        <w:lang w:val="en-GB"/>
      </w:rPr>
      <w:t xml:space="preserve">uture industrial strategy of the </w:t>
    </w:r>
    <w:r>
      <w:rPr>
        <w:rFonts w:cs="Calibri"/>
        <w:b/>
        <w:sz w:val="24"/>
        <w:szCs w:val="24"/>
        <w:lang w:val="en-GB"/>
      </w:rPr>
      <w:t>EU</w:t>
    </w:r>
    <w:r w:rsidRPr="000A4B88">
      <w:rPr>
        <w:rFonts w:cs="Calibri"/>
        <w:b/>
        <w:sz w:val="24"/>
        <w:szCs w:val="24"/>
        <w:lang w:val="en-GB"/>
      </w:rPr>
      <w:t xml:space="preserve"> textiles ecosystem (</w:t>
    </w:r>
    <w:r>
      <w:rPr>
        <w:rFonts w:cs="Calibri"/>
        <w:b/>
        <w:sz w:val="24"/>
        <w:szCs w:val="24"/>
        <w:lang w:val="en-GB"/>
      </w:rPr>
      <w:t xml:space="preserve">TCLF </w:t>
    </w:r>
    <w:r w:rsidRPr="000A4B88">
      <w:rPr>
        <w:rFonts w:cs="Calibri"/>
        <w:b/>
        <w:sz w:val="24"/>
        <w:szCs w:val="24"/>
        <w:lang w:val="en-GB"/>
      </w:rPr>
      <w:t>sectors)</w:t>
    </w:r>
  </w:p>
  <w:p w14:paraId="4BD4EF8E" w14:textId="77777777" w:rsidR="000A4B88" w:rsidRPr="00C415DD" w:rsidRDefault="000A4B88">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0E3E"/>
    <w:multiLevelType w:val="hybridMultilevel"/>
    <w:tmpl w:val="27B00A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EB4F86"/>
    <w:multiLevelType w:val="hybridMultilevel"/>
    <w:tmpl w:val="1D964B5E"/>
    <w:lvl w:ilvl="0" w:tplc="CD48EB68">
      <w:start w:val="1"/>
      <w:numFmt w:val="bullet"/>
      <w:lvlText w:val="•"/>
      <w:lvlJc w:val="left"/>
      <w:pPr>
        <w:tabs>
          <w:tab w:val="num" w:pos="720"/>
        </w:tabs>
        <w:ind w:left="720" w:hanging="360"/>
      </w:pPr>
      <w:rPr>
        <w:rFonts w:ascii="Times New Roman" w:hAnsi="Times New Roman" w:hint="default"/>
      </w:rPr>
    </w:lvl>
    <w:lvl w:ilvl="1" w:tplc="A25E7F0A" w:tentative="1">
      <w:start w:val="1"/>
      <w:numFmt w:val="bullet"/>
      <w:lvlText w:val="•"/>
      <w:lvlJc w:val="left"/>
      <w:pPr>
        <w:tabs>
          <w:tab w:val="num" w:pos="1440"/>
        </w:tabs>
        <w:ind w:left="1440" w:hanging="360"/>
      </w:pPr>
      <w:rPr>
        <w:rFonts w:ascii="Times New Roman" w:hAnsi="Times New Roman" w:hint="default"/>
      </w:rPr>
    </w:lvl>
    <w:lvl w:ilvl="2" w:tplc="08282504" w:tentative="1">
      <w:start w:val="1"/>
      <w:numFmt w:val="bullet"/>
      <w:lvlText w:val="•"/>
      <w:lvlJc w:val="left"/>
      <w:pPr>
        <w:tabs>
          <w:tab w:val="num" w:pos="2160"/>
        </w:tabs>
        <w:ind w:left="2160" w:hanging="360"/>
      </w:pPr>
      <w:rPr>
        <w:rFonts w:ascii="Times New Roman" w:hAnsi="Times New Roman" w:hint="default"/>
      </w:rPr>
    </w:lvl>
    <w:lvl w:ilvl="3" w:tplc="7AAEC672" w:tentative="1">
      <w:start w:val="1"/>
      <w:numFmt w:val="bullet"/>
      <w:lvlText w:val="•"/>
      <w:lvlJc w:val="left"/>
      <w:pPr>
        <w:tabs>
          <w:tab w:val="num" w:pos="2880"/>
        </w:tabs>
        <w:ind w:left="2880" w:hanging="360"/>
      </w:pPr>
      <w:rPr>
        <w:rFonts w:ascii="Times New Roman" w:hAnsi="Times New Roman" w:hint="default"/>
      </w:rPr>
    </w:lvl>
    <w:lvl w:ilvl="4" w:tplc="8ED89B94" w:tentative="1">
      <w:start w:val="1"/>
      <w:numFmt w:val="bullet"/>
      <w:lvlText w:val="•"/>
      <w:lvlJc w:val="left"/>
      <w:pPr>
        <w:tabs>
          <w:tab w:val="num" w:pos="3600"/>
        </w:tabs>
        <w:ind w:left="3600" w:hanging="360"/>
      </w:pPr>
      <w:rPr>
        <w:rFonts w:ascii="Times New Roman" w:hAnsi="Times New Roman" w:hint="default"/>
      </w:rPr>
    </w:lvl>
    <w:lvl w:ilvl="5" w:tplc="1C56693E" w:tentative="1">
      <w:start w:val="1"/>
      <w:numFmt w:val="bullet"/>
      <w:lvlText w:val="•"/>
      <w:lvlJc w:val="left"/>
      <w:pPr>
        <w:tabs>
          <w:tab w:val="num" w:pos="4320"/>
        </w:tabs>
        <w:ind w:left="4320" w:hanging="360"/>
      </w:pPr>
      <w:rPr>
        <w:rFonts w:ascii="Times New Roman" w:hAnsi="Times New Roman" w:hint="default"/>
      </w:rPr>
    </w:lvl>
    <w:lvl w:ilvl="6" w:tplc="0504EEAE" w:tentative="1">
      <w:start w:val="1"/>
      <w:numFmt w:val="bullet"/>
      <w:lvlText w:val="•"/>
      <w:lvlJc w:val="left"/>
      <w:pPr>
        <w:tabs>
          <w:tab w:val="num" w:pos="5040"/>
        </w:tabs>
        <w:ind w:left="5040" w:hanging="360"/>
      </w:pPr>
      <w:rPr>
        <w:rFonts w:ascii="Times New Roman" w:hAnsi="Times New Roman" w:hint="default"/>
      </w:rPr>
    </w:lvl>
    <w:lvl w:ilvl="7" w:tplc="38547FB4" w:tentative="1">
      <w:start w:val="1"/>
      <w:numFmt w:val="bullet"/>
      <w:lvlText w:val="•"/>
      <w:lvlJc w:val="left"/>
      <w:pPr>
        <w:tabs>
          <w:tab w:val="num" w:pos="5760"/>
        </w:tabs>
        <w:ind w:left="5760" w:hanging="360"/>
      </w:pPr>
      <w:rPr>
        <w:rFonts w:ascii="Times New Roman" w:hAnsi="Times New Roman" w:hint="default"/>
      </w:rPr>
    </w:lvl>
    <w:lvl w:ilvl="8" w:tplc="9494878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F991793"/>
    <w:multiLevelType w:val="hybridMultilevel"/>
    <w:tmpl w:val="8800112E"/>
    <w:lvl w:ilvl="0" w:tplc="036E165E">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DA74745"/>
    <w:multiLevelType w:val="hybridMultilevel"/>
    <w:tmpl w:val="9E72E65C"/>
    <w:lvl w:ilvl="0" w:tplc="0590E902">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4C72584"/>
    <w:multiLevelType w:val="hybridMultilevel"/>
    <w:tmpl w:val="CECA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B637D7"/>
    <w:multiLevelType w:val="hybridMultilevel"/>
    <w:tmpl w:val="BBF0A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6D1392"/>
    <w:multiLevelType w:val="hybridMultilevel"/>
    <w:tmpl w:val="ABDA51C4"/>
    <w:lvl w:ilvl="0" w:tplc="B360EEDA">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6DC31CD"/>
    <w:multiLevelType w:val="hybridMultilevel"/>
    <w:tmpl w:val="998030DA"/>
    <w:lvl w:ilvl="0" w:tplc="0590E902">
      <w:start w:val="14"/>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8227727"/>
    <w:multiLevelType w:val="hybridMultilevel"/>
    <w:tmpl w:val="1A604E66"/>
    <w:lvl w:ilvl="0" w:tplc="6C50A0A4">
      <w:start w:val="1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8"/>
  </w:num>
  <w:num w:numId="5">
    <w:abstractNumId w:val="3"/>
  </w:num>
  <w:num w:numId="6">
    <w:abstractNumId w:val="1"/>
  </w:num>
  <w:num w:numId="7">
    <w:abstractNumId w:val="4"/>
  </w:num>
  <w:num w:numId="8">
    <w:abstractNumId w:val="0"/>
  </w:num>
  <w:num w:numId="9">
    <w:abstractNumId w:val="5"/>
  </w:num>
  <w:num w:numId="10">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2A"/>
    <w:rsid w:val="00001EFC"/>
    <w:rsid w:val="00003AC6"/>
    <w:rsid w:val="00005B43"/>
    <w:rsid w:val="00010E48"/>
    <w:rsid w:val="00015F43"/>
    <w:rsid w:val="000276A0"/>
    <w:rsid w:val="0004312F"/>
    <w:rsid w:val="000554F9"/>
    <w:rsid w:val="00063D4F"/>
    <w:rsid w:val="00065099"/>
    <w:rsid w:val="00067277"/>
    <w:rsid w:val="00072AD5"/>
    <w:rsid w:val="0007730C"/>
    <w:rsid w:val="00081D5E"/>
    <w:rsid w:val="00086D0B"/>
    <w:rsid w:val="00090DA2"/>
    <w:rsid w:val="000974BD"/>
    <w:rsid w:val="000A4B88"/>
    <w:rsid w:val="000B3901"/>
    <w:rsid w:val="000D3D9B"/>
    <w:rsid w:val="000D49A1"/>
    <w:rsid w:val="000E2203"/>
    <w:rsid w:val="000E46B8"/>
    <w:rsid w:val="000F1BC3"/>
    <w:rsid w:val="00116621"/>
    <w:rsid w:val="00120319"/>
    <w:rsid w:val="0013277C"/>
    <w:rsid w:val="0013465B"/>
    <w:rsid w:val="001421CD"/>
    <w:rsid w:val="00150E3A"/>
    <w:rsid w:val="00183C9E"/>
    <w:rsid w:val="001913EF"/>
    <w:rsid w:val="001961E0"/>
    <w:rsid w:val="00196DA3"/>
    <w:rsid w:val="00197892"/>
    <w:rsid w:val="001C079D"/>
    <w:rsid w:val="001F6191"/>
    <w:rsid w:val="00206833"/>
    <w:rsid w:val="00234E95"/>
    <w:rsid w:val="0024795B"/>
    <w:rsid w:val="00251779"/>
    <w:rsid w:val="00291D61"/>
    <w:rsid w:val="002A6D4E"/>
    <w:rsid w:val="002C3B58"/>
    <w:rsid w:val="002C669F"/>
    <w:rsid w:val="002C7FC5"/>
    <w:rsid w:val="00300DF3"/>
    <w:rsid w:val="00301725"/>
    <w:rsid w:val="003039DF"/>
    <w:rsid w:val="00352FD7"/>
    <w:rsid w:val="00353A67"/>
    <w:rsid w:val="00361C3C"/>
    <w:rsid w:val="00380483"/>
    <w:rsid w:val="003845E5"/>
    <w:rsid w:val="00397300"/>
    <w:rsid w:val="003A6EC8"/>
    <w:rsid w:val="003A7A99"/>
    <w:rsid w:val="003B3D16"/>
    <w:rsid w:val="003C3F4E"/>
    <w:rsid w:val="003C4FE5"/>
    <w:rsid w:val="003D2AE4"/>
    <w:rsid w:val="003D46B9"/>
    <w:rsid w:val="003E2614"/>
    <w:rsid w:val="00413956"/>
    <w:rsid w:val="004168A7"/>
    <w:rsid w:val="004232D5"/>
    <w:rsid w:val="00433461"/>
    <w:rsid w:val="00433E1F"/>
    <w:rsid w:val="0044433E"/>
    <w:rsid w:val="0044521E"/>
    <w:rsid w:val="004479E3"/>
    <w:rsid w:val="004522B6"/>
    <w:rsid w:val="00452338"/>
    <w:rsid w:val="004575A5"/>
    <w:rsid w:val="00463828"/>
    <w:rsid w:val="004833B3"/>
    <w:rsid w:val="004B2BD4"/>
    <w:rsid w:val="004C0119"/>
    <w:rsid w:val="004C5F3E"/>
    <w:rsid w:val="004C7745"/>
    <w:rsid w:val="004E0F01"/>
    <w:rsid w:val="005101CD"/>
    <w:rsid w:val="00512CB4"/>
    <w:rsid w:val="00533ACA"/>
    <w:rsid w:val="00550253"/>
    <w:rsid w:val="0055688D"/>
    <w:rsid w:val="005612AC"/>
    <w:rsid w:val="00561746"/>
    <w:rsid w:val="00563A78"/>
    <w:rsid w:val="00563CF6"/>
    <w:rsid w:val="00570B1A"/>
    <w:rsid w:val="00572068"/>
    <w:rsid w:val="005734DB"/>
    <w:rsid w:val="00581558"/>
    <w:rsid w:val="00584CA4"/>
    <w:rsid w:val="005947A7"/>
    <w:rsid w:val="005C488C"/>
    <w:rsid w:val="005E2D05"/>
    <w:rsid w:val="005E3D86"/>
    <w:rsid w:val="005F124B"/>
    <w:rsid w:val="005F35A8"/>
    <w:rsid w:val="00604E60"/>
    <w:rsid w:val="00612A81"/>
    <w:rsid w:val="00654DF5"/>
    <w:rsid w:val="0066334A"/>
    <w:rsid w:val="00664838"/>
    <w:rsid w:val="006824CC"/>
    <w:rsid w:val="006C14A9"/>
    <w:rsid w:val="006D042A"/>
    <w:rsid w:val="006D45C4"/>
    <w:rsid w:val="006E176F"/>
    <w:rsid w:val="006E47E6"/>
    <w:rsid w:val="006E4D28"/>
    <w:rsid w:val="007076D7"/>
    <w:rsid w:val="007078C0"/>
    <w:rsid w:val="007113B0"/>
    <w:rsid w:val="00760CBD"/>
    <w:rsid w:val="0076187B"/>
    <w:rsid w:val="00781F82"/>
    <w:rsid w:val="007A2131"/>
    <w:rsid w:val="007C179D"/>
    <w:rsid w:val="0081769C"/>
    <w:rsid w:val="00822868"/>
    <w:rsid w:val="00834C5C"/>
    <w:rsid w:val="008444D8"/>
    <w:rsid w:val="00846E03"/>
    <w:rsid w:val="00863202"/>
    <w:rsid w:val="00874CA2"/>
    <w:rsid w:val="0088180F"/>
    <w:rsid w:val="00885BFA"/>
    <w:rsid w:val="008D5A8C"/>
    <w:rsid w:val="0090723C"/>
    <w:rsid w:val="00925F10"/>
    <w:rsid w:val="009761EA"/>
    <w:rsid w:val="0097640E"/>
    <w:rsid w:val="00982F95"/>
    <w:rsid w:val="00986D5F"/>
    <w:rsid w:val="009B1166"/>
    <w:rsid w:val="009D765C"/>
    <w:rsid w:val="009E1147"/>
    <w:rsid w:val="00A07B2D"/>
    <w:rsid w:val="00A10FBD"/>
    <w:rsid w:val="00A14DCD"/>
    <w:rsid w:val="00A223A9"/>
    <w:rsid w:val="00A31AF1"/>
    <w:rsid w:val="00A7117D"/>
    <w:rsid w:val="00A76586"/>
    <w:rsid w:val="00AA6992"/>
    <w:rsid w:val="00AB6C54"/>
    <w:rsid w:val="00AC06C8"/>
    <w:rsid w:val="00AC2938"/>
    <w:rsid w:val="00AC6837"/>
    <w:rsid w:val="00AD2A67"/>
    <w:rsid w:val="00AF26D4"/>
    <w:rsid w:val="00B15EE6"/>
    <w:rsid w:val="00B23AC5"/>
    <w:rsid w:val="00B30265"/>
    <w:rsid w:val="00B311F3"/>
    <w:rsid w:val="00B569BE"/>
    <w:rsid w:val="00B60653"/>
    <w:rsid w:val="00B61AD8"/>
    <w:rsid w:val="00B9125C"/>
    <w:rsid w:val="00B97891"/>
    <w:rsid w:val="00BA4DCE"/>
    <w:rsid w:val="00BC0E78"/>
    <w:rsid w:val="00BC43E9"/>
    <w:rsid w:val="00BC7E8F"/>
    <w:rsid w:val="00BF5497"/>
    <w:rsid w:val="00C01690"/>
    <w:rsid w:val="00C33F69"/>
    <w:rsid w:val="00C3544B"/>
    <w:rsid w:val="00C35D2D"/>
    <w:rsid w:val="00C3775A"/>
    <w:rsid w:val="00C415DD"/>
    <w:rsid w:val="00C43BEA"/>
    <w:rsid w:val="00C543E9"/>
    <w:rsid w:val="00C62662"/>
    <w:rsid w:val="00C82E91"/>
    <w:rsid w:val="00C86073"/>
    <w:rsid w:val="00CA2A9A"/>
    <w:rsid w:val="00CD72FB"/>
    <w:rsid w:val="00CF0FF1"/>
    <w:rsid w:val="00D4214C"/>
    <w:rsid w:val="00D451BA"/>
    <w:rsid w:val="00D560E5"/>
    <w:rsid w:val="00D9501F"/>
    <w:rsid w:val="00D9755B"/>
    <w:rsid w:val="00DB61A7"/>
    <w:rsid w:val="00DD29B1"/>
    <w:rsid w:val="00DD5495"/>
    <w:rsid w:val="00DD649D"/>
    <w:rsid w:val="00DE4B2A"/>
    <w:rsid w:val="00E35270"/>
    <w:rsid w:val="00E523C2"/>
    <w:rsid w:val="00E6773B"/>
    <w:rsid w:val="00E91BF7"/>
    <w:rsid w:val="00EC171C"/>
    <w:rsid w:val="00ED76DE"/>
    <w:rsid w:val="00F025AA"/>
    <w:rsid w:val="00F12195"/>
    <w:rsid w:val="00F1420F"/>
    <w:rsid w:val="00F3703D"/>
    <w:rsid w:val="00F64250"/>
    <w:rsid w:val="00F80922"/>
    <w:rsid w:val="00F82037"/>
    <w:rsid w:val="00F87CBC"/>
    <w:rsid w:val="00FA05D1"/>
    <w:rsid w:val="00FA3056"/>
    <w:rsid w:val="00FB5163"/>
    <w:rsid w:val="00FC0FE4"/>
    <w:rsid w:val="00FD6C24"/>
    <w:rsid w:val="00FF6259"/>
    <w:rsid w:val="047E0271"/>
    <w:rsid w:val="0788BACE"/>
    <w:rsid w:val="0A786BE4"/>
    <w:rsid w:val="0B3D4303"/>
    <w:rsid w:val="0E210CD5"/>
    <w:rsid w:val="0E44FB4C"/>
    <w:rsid w:val="1827D84D"/>
    <w:rsid w:val="1D9F2331"/>
    <w:rsid w:val="244961D9"/>
    <w:rsid w:val="2491B08A"/>
    <w:rsid w:val="2891CEA0"/>
    <w:rsid w:val="28D418EA"/>
    <w:rsid w:val="28F10EA9"/>
    <w:rsid w:val="2A3084B7"/>
    <w:rsid w:val="302BA0A4"/>
    <w:rsid w:val="33C05EDC"/>
    <w:rsid w:val="3403F3D5"/>
    <w:rsid w:val="3895B3CE"/>
    <w:rsid w:val="3BA6EACA"/>
    <w:rsid w:val="4757ECD1"/>
    <w:rsid w:val="47597300"/>
    <w:rsid w:val="4E71EB30"/>
    <w:rsid w:val="56A8F22B"/>
    <w:rsid w:val="5A38C349"/>
    <w:rsid w:val="5B7586F9"/>
    <w:rsid w:val="5BAC82F9"/>
    <w:rsid w:val="5FB9FC41"/>
    <w:rsid w:val="6626C2D2"/>
    <w:rsid w:val="743EDDE3"/>
    <w:rsid w:val="76817B29"/>
    <w:rsid w:val="7B200B18"/>
    <w:rsid w:val="7CBAADF7"/>
    <w:rsid w:val="7D07D942"/>
    <w:rsid w:val="7FED24A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C9B2A"/>
  <w15:chartTrackingRefBased/>
  <w15:docId w15:val="{0E8E5360-379E-4E02-BB57-9C4F0E10E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46B9"/>
    <w:pPr>
      <w:keepNext/>
      <w:spacing w:before="240" w:after="60" w:line="276" w:lineRule="auto"/>
      <w:jc w:val="both"/>
      <w:outlineLvl w:val="0"/>
    </w:pPr>
    <w:rPr>
      <w:rFonts w:ascii="Calibri" w:eastAsia="Times New Roman" w:hAnsi="Calibri" w:cs="Times New Roman"/>
      <w:b/>
      <w:bCs/>
      <w:color w:val="0070C0"/>
      <w:kern w:val="32"/>
      <w:sz w:val="28"/>
      <w:szCs w:val="32"/>
      <w:lang w:val="en-US"/>
    </w:rPr>
  </w:style>
  <w:style w:type="paragraph" w:styleId="Heading3">
    <w:name w:val="heading 3"/>
    <w:basedOn w:val="Normal"/>
    <w:next w:val="Normal"/>
    <w:link w:val="Heading3Char"/>
    <w:uiPriority w:val="9"/>
    <w:semiHidden/>
    <w:unhideWhenUsed/>
    <w:qFormat/>
    <w:rsid w:val="004E0F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C,Colorful List Accent 1,Paragraphe de liste1"/>
    <w:basedOn w:val="Normal"/>
    <w:link w:val="ListParagraphChar"/>
    <w:uiPriority w:val="34"/>
    <w:qFormat/>
    <w:rsid w:val="00612A81"/>
    <w:pPr>
      <w:ind w:left="720"/>
      <w:contextualSpacing/>
    </w:pPr>
  </w:style>
  <w:style w:type="paragraph" w:styleId="NormalWeb">
    <w:name w:val="Normal (Web)"/>
    <w:basedOn w:val="Normal"/>
    <w:uiPriority w:val="99"/>
    <w:unhideWhenUsed/>
    <w:rsid w:val="005617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8D5A8C"/>
    <w:rPr>
      <w:b/>
      <w:bCs/>
    </w:rPr>
  </w:style>
  <w:style w:type="paragraph" w:styleId="FootnoteText">
    <w:name w:val="footnote text"/>
    <w:basedOn w:val="Normal"/>
    <w:link w:val="FootnoteTextChar"/>
    <w:uiPriority w:val="99"/>
    <w:semiHidden/>
    <w:unhideWhenUsed/>
    <w:rsid w:val="003A6EC8"/>
    <w:pPr>
      <w:spacing w:after="0" w:line="240" w:lineRule="auto"/>
    </w:pPr>
    <w:rPr>
      <w:rFonts w:ascii="Calibri" w:hAnsi="Calibri" w:cs="Calibri"/>
      <w:sz w:val="20"/>
      <w:szCs w:val="20"/>
      <w:lang w:val="en-GB"/>
    </w:rPr>
  </w:style>
  <w:style w:type="character" w:customStyle="1" w:styleId="FootnoteTextChar">
    <w:name w:val="Footnote Text Char"/>
    <w:basedOn w:val="DefaultParagraphFont"/>
    <w:link w:val="FootnoteText"/>
    <w:uiPriority w:val="99"/>
    <w:semiHidden/>
    <w:rsid w:val="003A6EC8"/>
    <w:rPr>
      <w:rFonts w:ascii="Calibri" w:hAnsi="Calibri" w:cs="Calibri"/>
      <w:sz w:val="20"/>
      <w:szCs w:val="20"/>
      <w:lang w:val="en-GB"/>
    </w:rPr>
  </w:style>
  <w:style w:type="character" w:styleId="FootnoteReference">
    <w:name w:val="footnote reference"/>
    <w:basedOn w:val="DefaultParagraphFont"/>
    <w:uiPriority w:val="99"/>
    <w:semiHidden/>
    <w:unhideWhenUsed/>
    <w:rsid w:val="003A6EC8"/>
    <w:rPr>
      <w:vertAlign w:val="superscript"/>
    </w:rPr>
  </w:style>
  <w:style w:type="paragraph" w:styleId="BalloonText">
    <w:name w:val="Balloon Text"/>
    <w:basedOn w:val="Normal"/>
    <w:link w:val="BalloonTextChar"/>
    <w:uiPriority w:val="99"/>
    <w:semiHidden/>
    <w:unhideWhenUsed/>
    <w:rsid w:val="00A10FB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0FB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10FBD"/>
    <w:rPr>
      <w:sz w:val="16"/>
      <w:szCs w:val="16"/>
    </w:rPr>
  </w:style>
  <w:style w:type="paragraph" w:styleId="CommentText">
    <w:name w:val="annotation text"/>
    <w:basedOn w:val="Normal"/>
    <w:link w:val="CommentTextChar"/>
    <w:uiPriority w:val="99"/>
    <w:semiHidden/>
    <w:unhideWhenUsed/>
    <w:rsid w:val="00A10FBD"/>
    <w:pPr>
      <w:spacing w:line="240" w:lineRule="auto"/>
    </w:pPr>
    <w:rPr>
      <w:sz w:val="20"/>
      <w:szCs w:val="20"/>
    </w:rPr>
  </w:style>
  <w:style w:type="character" w:customStyle="1" w:styleId="CommentTextChar">
    <w:name w:val="Comment Text Char"/>
    <w:basedOn w:val="DefaultParagraphFont"/>
    <w:link w:val="CommentText"/>
    <w:uiPriority w:val="99"/>
    <w:semiHidden/>
    <w:rsid w:val="00A10FBD"/>
    <w:rPr>
      <w:sz w:val="20"/>
      <w:szCs w:val="20"/>
    </w:rPr>
  </w:style>
  <w:style w:type="paragraph" w:styleId="CommentSubject">
    <w:name w:val="annotation subject"/>
    <w:basedOn w:val="CommentText"/>
    <w:next w:val="CommentText"/>
    <w:link w:val="CommentSubjectChar"/>
    <w:uiPriority w:val="99"/>
    <w:semiHidden/>
    <w:unhideWhenUsed/>
    <w:rsid w:val="00A10FBD"/>
    <w:rPr>
      <w:b/>
      <w:bCs/>
    </w:rPr>
  </w:style>
  <w:style w:type="character" w:customStyle="1" w:styleId="CommentSubjectChar">
    <w:name w:val="Comment Subject Char"/>
    <w:basedOn w:val="CommentTextChar"/>
    <w:link w:val="CommentSubject"/>
    <w:uiPriority w:val="99"/>
    <w:semiHidden/>
    <w:rsid w:val="00A10FBD"/>
    <w:rPr>
      <w:b/>
      <w:bCs/>
      <w:sz w:val="20"/>
      <w:szCs w:val="20"/>
    </w:rPr>
  </w:style>
  <w:style w:type="paragraph" w:styleId="Revision">
    <w:name w:val="Revision"/>
    <w:hidden/>
    <w:uiPriority w:val="99"/>
    <w:semiHidden/>
    <w:rsid w:val="00BC43E9"/>
    <w:pPr>
      <w:spacing w:after="0" w:line="240" w:lineRule="auto"/>
    </w:pPr>
  </w:style>
  <w:style w:type="paragraph" w:styleId="Header">
    <w:name w:val="header"/>
    <w:basedOn w:val="Normal"/>
    <w:link w:val="HeaderChar"/>
    <w:uiPriority w:val="99"/>
    <w:unhideWhenUsed/>
    <w:rsid w:val="00846E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E03"/>
  </w:style>
  <w:style w:type="paragraph" w:styleId="Footer">
    <w:name w:val="footer"/>
    <w:basedOn w:val="Normal"/>
    <w:link w:val="FooterChar"/>
    <w:uiPriority w:val="99"/>
    <w:unhideWhenUsed/>
    <w:rsid w:val="00846E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E03"/>
  </w:style>
  <w:style w:type="table" w:styleId="TableGrid">
    <w:name w:val="Table Grid"/>
    <w:basedOn w:val="TableNormal"/>
    <w:uiPriority w:val="39"/>
    <w:rsid w:val="000D3D9B"/>
    <w:pPr>
      <w:spacing w:after="0" w:line="240" w:lineRule="auto"/>
    </w:pPr>
    <w:rPr>
      <w:lang w:val="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1690"/>
    <w:rPr>
      <w:color w:val="0563C1" w:themeColor="hyperlink"/>
      <w:u w:val="single"/>
    </w:rPr>
  </w:style>
  <w:style w:type="character" w:styleId="UnresolvedMention">
    <w:name w:val="Unresolved Mention"/>
    <w:basedOn w:val="DefaultParagraphFont"/>
    <w:uiPriority w:val="99"/>
    <w:semiHidden/>
    <w:unhideWhenUsed/>
    <w:rsid w:val="00C01690"/>
    <w:rPr>
      <w:color w:val="605E5C"/>
      <w:shd w:val="clear" w:color="auto" w:fill="E1DFDD"/>
    </w:rPr>
  </w:style>
  <w:style w:type="paragraph" w:styleId="NoSpacing">
    <w:name w:val="No Spacing"/>
    <w:uiPriority w:val="1"/>
    <w:qFormat/>
    <w:rsid w:val="003C4FE5"/>
    <w:pPr>
      <w:spacing w:after="0" w:line="240" w:lineRule="auto"/>
    </w:pPr>
  </w:style>
  <w:style w:type="character" w:customStyle="1" w:styleId="Heading1Char">
    <w:name w:val="Heading 1 Char"/>
    <w:basedOn w:val="DefaultParagraphFont"/>
    <w:link w:val="Heading1"/>
    <w:uiPriority w:val="9"/>
    <w:rsid w:val="003D46B9"/>
    <w:rPr>
      <w:rFonts w:ascii="Calibri" w:eastAsia="Times New Roman" w:hAnsi="Calibri" w:cs="Times New Roman"/>
      <w:b/>
      <w:bCs/>
      <w:color w:val="0070C0"/>
      <w:kern w:val="32"/>
      <w:sz w:val="28"/>
      <w:szCs w:val="32"/>
      <w:lang w:val="en-US"/>
    </w:rPr>
  </w:style>
  <w:style w:type="character" w:customStyle="1" w:styleId="ListParagraphChar">
    <w:name w:val="List Paragraph Char"/>
    <w:aliases w:val="EC Char,Colorful List Accent 1 Char,Paragraphe de liste1 Char"/>
    <w:link w:val="ListParagraph"/>
    <w:uiPriority w:val="34"/>
    <w:rsid w:val="003D46B9"/>
  </w:style>
  <w:style w:type="character" w:customStyle="1" w:styleId="Heading3Char">
    <w:name w:val="Heading 3 Char"/>
    <w:basedOn w:val="DefaultParagraphFont"/>
    <w:link w:val="Heading3"/>
    <w:uiPriority w:val="9"/>
    <w:semiHidden/>
    <w:rsid w:val="004E0F0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E17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0169">
      <w:bodyDiv w:val="1"/>
      <w:marLeft w:val="0"/>
      <w:marRight w:val="0"/>
      <w:marTop w:val="0"/>
      <w:marBottom w:val="0"/>
      <w:divBdr>
        <w:top w:val="none" w:sz="0" w:space="0" w:color="auto"/>
        <w:left w:val="none" w:sz="0" w:space="0" w:color="auto"/>
        <w:bottom w:val="none" w:sz="0" w:space="0" w:color="auto"/>
        <w:right w:val="none" w:sz="0" w:space="0" w:color="auto"/>
      </w:divBdr>
    </w:div>
    <w:div w:id="152378148">
      <w:bodyDiv w:val="1"/>
      <w:marLeft w:val="0"/>
      <w:marRight w:val="0"/>
      <w:marTop w:val="0"/>
      <w:marBottom w:val="0"/>
      <w:divBdr>
        <w:top w:val="none" w:sz="0" w:space="0" w:color="auto"/>
        <w:left w:val="none" w:sz="0" w:space="0" w:color="auto"/>
        <w:bottom w:val="none" w:sz="0" w:space="0" w:color="auto"/>
        <w:right w:val="none" w:sz="0" w:space="0" w:color="auto"/>
      </w:divBdr>
    </w:div>
    <w:div w:id="486871157">
      <w:bodyDiv w:val="1"/>
      <w:marLeft w:val="0"/>
      <w:marRight w:val="0"/>
      <w:marTop w:val="0"/>
      <w:marBottom w:val="0"/>
      <w:divBdr>
        <w:top w:val="none" w:sz="0" w:space="0" w:color="auto"/>
        <w:left w:val="none" w:sz="0" w:space="0" w:color="auto"/>
        <w:bottom w:val="none" w:sz="0" w:space="0" w:color="auto"/>
        <w:right w:val="none" w:sz="0" w:space="0" w:color="auto"/>
      </w:divBdr>
    </w:div>
    <w:div w:id="500198758">
      <w:bodyDiv w:val="1"/>
      <w:marLeft w:val="0"/>
      <w:marRight w:val="0"/>
      <w:marTop w:val="0"/>
      <w:marBottom w:val="0"/>
      <w:divBdr>
        <w:top w:val="none" w:sz="0" w:space="0" w:color="auto"/>
        <w:left w:val="none" w:sz="0" w:space="0" w:color="auto"/>
        <w:bottom w:val="none" w:sz="0" w:space="0" w:color="auto"/>
        <w:right w:val="none" w:sz="0" w:space="0" w:color="auto"/>
      </w:divBdr>
    </w:div>
    <w:div w:id="507209014">
      <w:bodyDiv w:val="1"/>
      <w:marLeft w:val="0"/>
      <w:marRight w:val="0"/>
      <w:marTop w:val="0"/>
      <w:marBottom w:val="0"/>
      <w:divBdr>
        <w:top w:val="none" w:sz="0" w:space="0" w:color="auto"/>
        <w:left w:val="none" w:sz="0" w:space="0" w:color="auto"/>
        <w:bottom w:val="none" w:sz="0" w:space="0" w:color="auto"/>
        <w:right w:val="none" w:sz="0" w:space="0" w:color="auto"/>
      </w:divBdr>
    </w:div>
    <w:div w:id="882714698">
      <w:bodyDiv w:val="1"/>
      <w:marLeft w:val="0"/>
      <w:marRight w:val="0"/>
      <w:marTop w:val="0"/>
      <w:marBottom w:val="0"/>
      <w:divBdr>
        <w:top w:val="none" w:sz="0" w:space="0" w:color="auto"/>
        <w:left w:val="none" w:sz="0" w:space="0" w:color="auto"/>
        <w:bottom w:val="none" w:sz="0" w:space="0" w:color="auto"/>
        <w:right w:val="none" w:sz="0" w:space="0" w:color="auto"/>
      </w:divBdr>
    </w:div>
    <w:div w:id="1175339000">
      <w:bodyDiv w:val="1"/>
      <w:marLeft w:val="0"/>
      <w:marRight w:val="0"/>
      <w:marTop w:val="0"/>
      <w:marBottom w:val="0"/>
      <w:divBdr>
        <w:top w:val="none" w:sz="0" w:space="0" w:color="auto"/>
        <w:left w:val="none" w:sz="0" w:space="0" w:color="auto"/>
        <w:bottom w:val="none" w:sz="0" w:space="0" w:color="auto"/>
        <w:right w:val="none" w:sz="0" w:space="0" w:color="auto"/>
      </w:divBdr>
    </w:div>
    <w:div w:id="1196964983">
      <w:bodyDiv w:val="1"/>
      <w:marLeft w:val="0"/>
      <w:marRight w:val="0"/>
      <w:marTop w:val="0"/>
      <w:marBottom w:val="0"/>
      <w:divBdr>
        <w:top w:val="none" w:sz="0" w:space="0" w:color="auto"/>
        <w:left w:val="none" w:sz="0" w:space="0" w:color="auto"/>
        <w:bottom w:val="none" w:sz="0" w:space="0" w:color="auto"/>
        <w:right w:val="none" w:sz="0" w:space="0" w:color="auto"/>
      </w:divBdr>
    </w:div>
    <w:div w:id="1648243221">
      <w:bodyDiv w:val="1"/>
      <w:marLeft w:val="0"/>
      <w:marRight w:val="0"/>
      <w:marTop w:val="0"/>
      <w:marBottom w:val="0"/>
      <w:divBdr>
        <w:top w:val="none" w:sz="0" w:space="0" w:color="auto"/>
        <w:left w:val="none" w:sz="0" w:space="0" w:color="auto"/>
        <w:bottom w:val="none" w:sz="0" w:space="0" w:color="auto"/>
        <w:right w:val="none" w:sz="0" w:space="0" w:color="auto"/>
      </w:divBdr>
      <w:divsChild>
        <w:div w:id="956330915">
          <w:marLeft w:val="547"/>
          <w:marRight w:val="0"/>
          <w:marTop w:val="0"/>
          <w:marBottom w:val="0"/>
          <w:divBdr>
            <w:top w:val="none" w:sz="0" w:space="0" w:color="auto"/>
            <w:left w:val="none" w:sz="0" w:space="0" w:color="auto"/>
            <w:bottom w:val="none" w:sz="0" w:space="0" w:color="auto"/>
            <w:right w:val="none" w:sz="0" w:space="0" w:color="auto"/>
          </w:divBdr>
        </w:div>
      </w:divsChild>
    </w:div>
    <w:div w:id="1737970316">
      <w:bodyDiv w:val="1"/>
      <w:marLeft w:val="0"/>
      <w:marRight w:val="0"/>
      <w:marTop w:val="0"/>
      <w:marBottom w:val="0"/>
      <w:divBdr>
        <w:top w:val="none" w:sz="0" w:space="0" w:color="auto"/>
        <w:left w:val="none" w:sz="0" w:space="0" w:color="auto"/>
        <w:bottom w:val="none" w:sz="0" w:space="0" w:color="auto"/>
        <w:right w:val="none" w:sz="0" w:space="0" w:color="auto"/>
      </w:divBdr>
    </w:div>
    <w:div w:id="2006934792">
      <w:bodyDiv w:val="1"/>
      <w:marLeft w:val="0"/>
      <w:marRight w:val="0"/>
      <w:marTop w:val="0"/>
      <w:marBottom w:val="0"/>
      <w:divBdr>
        <w:top w:val="none" w:sz="0" w:space="0" w:color="auto"/>
        <w:left w:val="none" w:sz="0" w:space="0" w:color="auto"/>
        <w:bottom w:val="none" w:sz="0" w:space="0" w:color="auto"/>
        <w:right w:val="none" w:sz="0" w:space="0" w:color="auto"/>
      </w:divBdr>
    </w:div>
    <w:div w:id="208510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ws.industriall-europe.eu/content/documents/upload/2020/7/637299785302548170_200709%20TCLF%20SocialPartners%20Joint%20Statement%20Covid19.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ec.europa.eu/info/sites/default/files/communication-industrial-strategy-update-2020_en.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316A745ADCF47AAD0B8113BC18EDA" ma:contentTypeVersion="10" ma:contentTypeDescription="Crée un document." ma:contentTypeScope="" ma:versionID="696af13262e71ab29b5d9d34b2bd82a9">
  <xsd:schema xmlns:xsd="http://www.w3.org/2001/XMLSchema" xmlns:xs="http://www.w3.org/2001/XMLSchema" xmlns:p="http://schemas.microsoft.com/office/2006/metadata/properties" xmlns:ns3="87b0b99b-9774-4169-84f1-4334f2a91dcd" targetNamespace="http://schemas.microsoft.com/office/2006/metadata/properties" ma:root="true" ma:fieldsID="4045fef80255dc159d54d67400527ea6" ns3:_="">
    <xsd:import namespace="87b0b99b-9774-4169-84f1-4334f2a91dc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0b99b-9774-4169-84f1-4334f2a91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DEE891-ABE9-4964-9321-11D63F5F2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0b99b-9774-4169-84f1-4334f2a91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E06832-A677-49B5-BDB8-0193D259DDCB}">
  <ds:schemaRefs>
    <ds:schemaRef ds:uri="http://schemas.microsoft.com/sharepoint/v3/contenttype/forms"/>
  </ds:schemaRefs>
</ds:datastoreItem>
</file>

<file path=customXml/itemProps3.xml><?xml version="1.0" encoding="utf-8"?>
<ds:datastoreItem xmlns:ds="http://schemas.openxmlformats.org/officeDocument/2006/customXml" ds:itemID="{8C5ECF97-F8AA-4D7A-AF4B-20235FF19EF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719</Words>
  <Characters>4100</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 Footwear</dc:creator>
  <cp:keywords/>
  <dc:description/>
  <cp:lastModifiedBy>Giorgia Zia</cp:lastModifiedBy>
  <cp:revision>2</cp:revision>
  <cp:lastPrinted>2020-06-30T10:21:00Z</cp:lastPrinted>
  <dcterms:created xsi:type="dcterms:W3CDTF">2021-05-28T09:37:00Z</dcterms:created>
  <dcterms:modified xsi:type="dcterms:W3CDTF">2021-05-28T09:37:00Z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0x010100DF7316A745ADCF47AAD0B8113BC18EDA</vt:lpwstr>
  </property>
</Properties>
</file>