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983E9" w14:textId="77777777" w:rsidR="003B20C5" w:rsidRDefault="003B20C5" w:rsidP="00106746">
      <w:pPr>
        <w:jc w:val="center"/>
        <w:rPr>
          <w:rFonts w:ascii="Aptos" w:hAnsi="Aptos"/>
          <w:b/>
          <w:bCs/>
          <w:sz w:val="28"/>
          <w:szCs w:val="28"/>
        </w:rPr>
      </w:pPr>
    </w:p>
    <w:p w14:paraId="33D42B44" w14:textId="6070A652" w:rsidR="00106746" w:rsidRDefault="00106746" w:rsidP="00106746">
      <w:pPr>
        <w:jc w:val="center"/>
        <w:rPr>
          <w:rFonts w:ascii="Aptos" w:hAnsi="Aptos"/>
          <w:b/>
          <w:bCs/>
          <w:sz w:val="28"/>
          <w:szCs w:val="28"/>
        </w:rPr>
      </w:pPr>
      <w:r w:rsidRPr="00106746">
        <w:rPr>
          <w:rFonts w:ascii="Aptos" w:hAnsi="Aptos"/>
          <w:b/>
          <w:bCs/>
          <w:sz w:val="28"/>
          <w:szCs w:val="28"/>
        </w:rPr>
        <w:t>JOINT STATEMENT</w:t>
      </w:r>
    </w:p>
    <w:p w14:paraId="5F7B07D9" w14:textId="56A03727" w:rsidR="001C0E6C" w:rsidRPr="003B20C5" w:rsidRDefault="00106746" w:rsidP="003B20C5">
      <w:pPr>
        <w:jc w:val="center"/>
        <w:rPr>
          <w:rFonts w:ascii="Aptos" w:hAnsi="Aptos"/>
          <w:b/>
          <w:bCs/>
          <w:sz w:val="28"/>
          <w:szCs w:val="28"/>
        </w:rPr>
      </w:pPr>
      <w:r w:rsidRPr="00106746">
        <w:rPr>
          <w:rFonts w:ascii="Aptos" w:hAnsi="Aptos"/>
          <w:b/>
          <w:bCs/>
          <w:sz w:val="28"/>
          <w:szCs w:val="28"/>
        </w:rPr>
        <w:t xml:space="preserve">FITA – ABIT – </w:t>
      </w:r>
      <w:r w:rsidR="001A362F" w:rsidRPr="001A362F">
        <w:rPr>
          <w:rFonts w:ascii="Aptos" w:hAnsi="Aptos"/>
          <w:b/>
          <w:bCs/>
          <w:sz w:val="28"/>
          <w:szCs w:val="28"/>
        </w:rPr>
        <w:t>AICP</w:t>
      </w:r>
      <w:r w:rsidR="001A362F">
        <w:rPr>
          <w:rFonts w:ascii="Aptos" w:hAnsi="Aptos"/>
          <w:b/>
          <w:bCs/>
          <w:sz w:val="28"/>
          <w:szCs w:val="28"/>
        </w:rPr>
        <w:t xml:space="preserve"> </w:t>
      </w:r>
      <w:r w:rsidR="001A362F" w:rsidRPr="00106746">
        <w:rPr>
          <w:rFonts w:ascii="Aptos" w:hAnsi="Aptos"/>
          <w:b/>
          <w:bCs/>
          <w:sz w:val="28"/>
          <w:szCs w:val="28"/>
        </w:rPr>
        <w:t xml:space="preserve">– </w:t>
      </w:r>
      <w:r w:rsidRPr="00106746">
        <w:rPr>
          <w:rFonts w:ascii="Aptos" w:hAnsi="Aptos"/>
          <w:b/>
          <w:bCs/>
          <w:sz w:val="28"/>
          <w:szCs w:val="28"/>
        </w:rPr>
        <w:t>EURATEX</w:t>
      </w:r>
    </w:p>
    <w:p w14:paraId="2922F278" w14:textId="14289E5D" w:rsidR="001C0E6C" w:rsidRPr="00106746" w:rsidRDefault="001C0E6C" w:rsidP="00106746">
      <w:pPr>
        <w:jc w:val="right"/>
        <w:rPr>
          <w:rFonts w:ascii="Aptos" w:hAnsi="Aptos"/>
          <w:sz w:val="24"/>
          <w:szCs w:val="24"/>
        </w:rPr>
      </w:pPr>
      <w:r w:rsidRPr="00106746">
        <w:rPr>
          <w:rFonts w:ascii="Aptos" w:hAnsi="Aptos"/>
          <w:sz w:val="24"/>
          <w:szCs w:val="24"/>
        </w:rPr>
        <w:t>Paris, 5 February 2026</w:t>
      </w:r>
    </w:p>
    <w:p w14:paraId="78D7E85D" w14:textId="0DFA275B" w:rsidR="001C0E6C" w:rsidRPr="00106746" w:rsidRDefault="001C0E6C" w:rsidP="00106746">
      <w:pPr>
        <w:jc w:val="both"/>
        <w:rPr>
          <w:rFonts w:ascii="Aptos" w:hAnsi="Aptos"/>
          <w:sz w:val="24"/>
          <w:szCs w:val="24"/>
        </w:rPr>
      </w:pPr>
    </w:p>
    <w:p w14:paraId="2F2BF195" w14:textId="7E13CE7A" w:rsidR="00A96581" w:rsidRPr="00106746" w:rsidRDefault="001C0E6C" w:rsidP="00106746">
      <w:pPr>
        <w:jc w:val="both"/>
        <w:rPr>
          <w:rFonts w:ascii="Aptos" w:hAnsi="Aptos"/>
          <w:sz w:val="24"/>
          <w:szCs w:val="24"/>
        </w:rPr>
      </w:pPr>
      <w:r w:rsidRPr="00106746">
        <w:rPr>
          <w:rFonts w:ascii="Aptos" w:hAnsi="Aptos"/>
          <w:sz w:val="24"/>
          <w:szCs w:val="24"/>
        </w:rPr>
        <w:t xml:space="preserve">The Argentine Textile Industry Federation (FITA), the Brazilian Textile and Apparel Industry Association (ABIT), </w:t>
      </w:r>
      <w:r w:rsidR="001A362F">
        <w:rPr>
          <w:rFonts w:ascii="Aptos" w:hAnsi="Aptos"/>
          <w:sz w:val="24"/>
          <w:szCs w:val="24"/>
        </w:rPr>
        <w:t>t</w:t>
      </w:r>
      <w:r w:rsidR="004013A8">
        <w:rPr>
          <w:rFonts w:ascii="Aptos" w:hAnsi="Aptos"/>
          <w:sz w:val="24"/>
          <w:szCs w:val="24"/>
        </w:rPr>
        <w:t>he</w:t>
      </w:r>
      <w:r w:rsidR="006727C4">
        <w:rPr>
          <w:rFonts w:ascii="Aptos" w:hAnsi="Aptos"/>
          <w:sz w:val="24"/>
          <w:szCs w:val="24"/>
        </w:rPr>
        <w:t xml:space="preserve"> </w:t>
      </w:r>
      <w:r w:rsidR="006727C4" w:rsidRPr="006727C4">
        <w:rPr>
          <w:rFonts w:ascii="Aptos" w:hAnsi="Aptos"/>
          <w:sz w:val="24"/>
          <w:szCs w:val="24"/>
        </w:rPr>
        <w:t xml:space="preserve">Paraguayan Industrial Association of </w:t>
      </w:r>
      <w:r w:rsidR="006727C4">
        <w:rPr>
          <w:rFonts w:ascii="Aptos" w:hAnsi="Aptos"/>
          <w:sz w:val="24"/>
          <w:szCs w:val="24"/>
        </w:rPr>
        <w:t xml:space="preserve">Apparel </w:t>
      </w:r>
      <w:r w:rsidR="006727C4" w:rsidRPr="006727C4">
        <w:rPr>
          <w:rFonts w:ascii="Aptos" w:hAnsi="Aptos"/>
          <w:sz w:val="24"/>
          <w:szCs w:val="24"/>
        </w:rPr>
        <w:t>Manufacturers</w:t>
      </w:r>
      <w:r w:rsidR="006727C4">
        <w:rPr>
          <w:rFonts w:ascii="Aptos" w:hAnsi="Aptos"/>
          <w:sz w:val="24"/>
          <w:szCs w:val="24"/>
        </w:rPr>
        <w:t xml:space="preserve"> (AICP)</w:t>
      </w:r>
      <w:r w:rsidR="001A362F">
        <w:rPr>
          <w:rFonts w:ascii="Aptos" w:hAnsi="Aptos"/>
          <w:sz w:val="24"/>
          <w:szCs w:val="24"/>
        </w:rPr>
        <w:t>,</w:t>
      </w:r>
      <w:r w:rsidR="004013A8">
        <w:rPr>
          <w:rFonts w:ascii="Aptos" w:hAnsi="Aptos"/>
          <w:sz w:val="24"/>
          <w:szCs w:val="24"/>
        </w:rPr>
        <w:t xml:space="preserve"> </w:t>
      </w:r>
      <w:r w:rsidRPr="00106746">
        <w:rPr>
          <w:rFonts w:ascii="Aptos" w:hAnsi="Aptos"/>
          <w:sz w:val="24"/>
          <w:szCs w:val="24"/>
        </w:rPr>
        <w:t xml:space="preserve">and </w:t>
      </w:r>
      <w:r w:rsidR="00523D12">
        <w:rPr>
          <w:rFonts w:ascii="Aptos" w:hAnsi="Aptos"/>
          <w:sz w:val="24"/>
          <w:szCs w:val="24"/>
        </w:rPr>
        <w:t xml:space="preserve">the </w:t>
      </w:r>
      <w:r w:rsidRPr="00106746">
        <w:rPr>
          <w:rFonts w:ascii="Aptos" w:hAnsi="Aptos"/>
          <w:sz w:val="24"/>
          <w:szCs w:val="24"/>
        </w:rPr>
        <w:t>European Apparel and Textile Confederation</w:t>
      </w:r>
      <w:r w:rsidR="00523D12">
        <w:rPr>
          <w:rFonts w:ascii="Aptos" w:hAnsi="Aptos"/>
          <w:sz w:val="24"/>
          <w:szCs w:val="24"/>
        </w:rPr>
        <w:t xml:space="preserve"> (</w:t>
      </w:r>
      <w:r w:rsidR="00523D12" w:rsidRPr="00106746">
        <w:rPr>
          <w:rFonts w:ascii="Aptos" w:hAnsi="Aptos"/>
          <w:sz w:val="24"/>
          <w:szCs w:val="24"/>
        </w:rPr>
        <w:t>EURATEX</w:t>
      </w:r>
      <w:r w:rsidR="00523D12">
        <w:rPr>
          <w:rFonts w:ascii="Aptos" w:hAnsi="Aptos"/>
          <w:sz w:val="24"/>
          <w:szCs w:val="24"/>
        </w:rPr>
        <w:t>)</w:t>
      </w:r>
      <w:r w:rsidRPr="00106746">
        <w:rPr>
          <w:rFonts w:ascii="Aptos" w:hAnsi="Aptos"/>
          <w:sz w:val="24"/>
          <w:szCs w:val="24"/>
        </w:rPr>
        <w:t xml:space="preserve"> continue to monitor the process of internalizing the Mercosur-European Union Partnership Agreement.</w:t>
      </w:r>
      <w:r w:rsidR="00A96581" w:rsidRPr="00106746">
        <w:rPr>
          <w:rFonts w:ascii="Aptos" w:hAnsi="Aptos"/>
          <w:sz w:val="24"/>
          <w:szCs w:val="24"/>
        </w:rPr>
        <w:t xml:space="preserve"> This agreement is essential for the competitiveness of our industries, on both sides of the Atlantic. </w:t>
      </w:r>
    </w:p>
    <w:p w14:paraId="2853A6E7" w14:textId="77777777" w:rsidR="001C0E6C" w:rsidRPr="00106746" w:rsidRDefault="001C0E6C" w:rsidP="00106746">
      <w:pPr>
        <w:jc w:val="both"/>
        <w:rPr>
          <w:rFonts w:ascii="Aptos" w:hAnsi="Aptos"/>
          <w:sz w:val="24"/>
          <w:szCs w:val="24"/>
        </w:rPr>
      </w:pPr>
      <w:r w:rsidRPr="00106746">
        <w:rPr>
          <w:rFonts w:ascii="Aptos" w:hAnsi="Aptos"/>
          <w:sz w:val="24"/>
          <w:szCs w:val="24"/>
        </w:rPr>
        <w:t>The entities remain confident that, despite the submission of the agreement to the Court of Justice of the European Union, the vision of the agreement's strategic role for both sides of the Atlantic will prevail.</w:t>
      </w:r>
    </w:p>
    <w:p w14:paraId="4ADD85B4" w14:textId="1DFC6DAB" w:rsidR="001C0E6C" w:rsidRPr="00106746" w:rsidRDefault="001C0E6C" w:rsidP="00106746">
      <w:pPr>
        <w:jc w:val="both"/>
        <w:rPr>
          <w:rFonts w:ascii="Aptos" w:hAnsi="Aptos"/>
          <w:sz w:val="24"/>
          <w:szCs w:val="24"/>
        </w:rPr>
      </w:pPr>
      <w:r w:rsidRPr="00106746">
        <w:rPr>
          <w:rFonts w:ascii="Aptos" w:hAnsi="Aptos"/>
          <w:sz w:val="24"/>
          <w:szCs w:val="24"/>
        </w:rPr>
        <w:t xml:space="preserve">For the textile industry, the agreement confirms the commitment to economic integration and predictable rules, as well as signalling support for multilateralism in a challenging global scenario. </w:t>
      </w:r>
    </w:p>
    <w:p w14:paraId="50C4935E" w14:textId="1176D6CF" w:rsidR="001C0E6C" w:rsidRPr="00106746" w:rsidRDefault="001C0E6C" w:rsidP="00106746">
      <w:pPr>
        <w:jc w:val="both"/>
        <w:rPr>
          <w:rFonts w:ascii="Aptos" w:hAnsi="Aptos"/>
          <w:sz w:val="24"/>
          <w:szCs w:val="24"/>
        </w:rPr>
      </w:pPr>
      <w:r w:rsidRPr="00106746">
        <w:rPr>
          <w:rFonts w:ascii="Aptos" w:hAnsi="Aptos"/>
          <w:sz w:val="24"/>
          <w:szCs w:val="24"/>
        </w:rPr>
        <w:t xml:space="preserve">FITA, ABIT, </w:t>
      </w:r>
      <w:r w:rsidR="001A362F">
        <w:rPr>
          <w:rFonts w:ascii="Aptos" w:hAnsi="Aptos"/>
          <w:sz w:val="24"/>
          <w:szCs w:val="24"/>
        </w:rPr>
        <w:t xml:space="preserve">AICP, </w:t>
      </w:r>
      <w:r w:rsidRPr="00106746">
        <w:rPr>
          <w:rFonts w:ascii="Aptos" w:hAnsi="Aptos"/>
          <w:sz w:val="24"/>
          <w:szCs w:val="24"/>
        </w:rPr>
        <w:t>and EURATEX reaffirm their commitment to actively contribute to this implementation process of the agreement, as well as to undertake other inter-regional and international projection actions that consolidate both blocs as relevant actors in the global economy.</w:t>
      </w:r>
    </w:p>
    <w:p w14:paraId="0D572099" w14:textId="4BC3EA30" w:rsidR="00446B62" w:rsidRPr="00106746" w:rsidRDefault="00A96581" w:rsidP="00106746">
      <w:pPr>
        <w:jc w:val="both"/>
        <w:rPr>
          <w:rFonts w:ascii="Aptos" w:hAnsi="Aptos"/>
          <w:sz w:val="24"/>
          <w:szCs w:val="24"/>
        </w:rPr>
      </w:pPr>
      <w:r w:rsidRPr="00106746">
        <w:rPr>
          <w:rFonts w:ascii="Aptos" w:hAnsi="Aptos"/>
          <w:sz w:val="24"/>
          <w:szCs w:val="24"/>
        </w:rPr>
        <w:t>The EU textiles and apparel industry includes ca. 200,000 companies and 1</w:t>
      </w:r>
      <w:r w:rsidR="00446B62" w:rsidRPr="00106746">
        <w:rPr>
          <w:rFonts w:ascii="Aptos" w:hAnsi="Aptos"/>
          <w:sz w:val="24"/>
          <w:szCs w:val="24"/>
        </w:rPr>
        <w:t>.</w:t>
      </w:r>
      <w:r w:rsidRPr="00106746">
        <w:rPr>
          <w:rFonts w:ascii="Aptos" w:hAnsi="Aptos"/>
          <w:sz w:val="24"/>
          <w:szCs w:val="24"/>
        </w:rPr>
        <w:t xml:space="preserve">2 million dedicated workers, generating a turnover of nearly €170 billion. </w:t>
      </w:r>
    </w:p>
    <w:p w14:paraId="65FDB3CC" w14:textId="0475A809" w:rsidR="000F43A5" w:rsidRPr="00106746" w:rsidRDefault="00446B62" w:rsidP="00106746">
      <w:pPr>
        <w:jc w:val="both"/>
        <w:rPr>
          <w:rFonts w:ascii="Aptos" w:hAnsi="Aptos"/>
          <w:sz w:val="24"/>
          <w:szCs w:val="24"/>
        </w:rPr>
      </w:pPr>
      <w:r w:rsidRPr="00106746">
        <w:rPr>
          <w:rFonts w:ascii="Aptos" w:hAnsi="Aptos"/>
          <w:sz w:val="24"/>
          <w:szCs w:val="24"/>
        </w:rPr>
        <w:t xml:space="preserve">The Mercosur countries also have a significant textile and clothing industry. </w:t>
      </w:r>
      <w:r w:rsidR="000629FC">
        <w:rPr>
          <w:rFonts w:ascii="Aptos" w:hAnsi="Aptos"/>
          <w:sz w:val="24"/>
          <w:szCs w:val="24"/>
        </w:rPr>
        <w:t xml:space="preserve">In </w:t>
      </w:r>
      <w:r w:rsidR="006727C4">
        <w:rPr>
          <w:rFonts w:ascii="Aptos" w:hAnsi="Aptos"/>
          <w:sz w:val="24"/>
          <w:szCs w:val="24"/>
        </w:rPr>
        <w:t>Brazil, Argentina</w:t>
      </w:r>
      <w:r w:rsidR="00060F6A">
        <w:rPr>
          <w:rFonts w:ascii="Aptos" w:hAnsi="Aptos"/>
          <w:sz w:val="24"/>
          <w:szCs w:val="24"/>
        </w:rPr>
        <w:t>,</w:t>
      </w:r>
      <w:r w:rsidR="006727C4">
        <w:rPr>
          <w:rFonts w:ascii="Aptos" w:hAnsi="Aptos"/>
          <w:sz w:val="24"/>
          <w:szCs w:val="24"/>
        </w:rPr>
        <w:t xml:space="preserve"> and Paraguay</w:t>
      </w:r>
      <w:r w:rsidR="00F430C3">
        <w:rPr>
          <w:rFonts w:ascii="Aptos" w:hAnsi="Aptos"/>
          <w:sz w:val="24"/>
          <w:szCs w:val="24"/>
        </w:rPr>
        <w:t xml:space="preserve"> </w:t>
      </w:r>
      <w:r w:rsidR="000629FC">
        <w:rPr>
          <w:rFonts w:ascii="Aptos" w:hAnsi="Aptos"/>
          <w:sz w:val="24"/>
          <w:szCs w:val="24"/>
        </w:rPr>
        <w:t xml:space="preserve">this </w:t>
      </w:r>
      <w:r w:rsidR="00F430C3" w:rsidRPr="00106746">
        <w:rPr>
          <w:rFonts w:ascii="Aptos" w:hAnsi="Aptos"/>
          <w:sz w:val="24"/>
          <w:szCs w:val="24"/>
        </w:rPr>
        <w:t xml:space="preserve">industry </w:t>
      </w:r>
      <w:r w:rsidR="000629FC">
        <w:rPr>
          <w:rFonts w:ascii="Aptos" w:hAnsi="Aptos"/>
          <w:sz w:val="24"/>
          <w:szCs w:val="24"/>
        </w:rPr>
        <w:t xml:space="preserve">has </w:t>
      </w:r>
      <w:r w:rsidR="00BD6F9D">
        <w:rPr>
          <w:rFonts w:ascii="Aptos" w:hAnsi="Aptos"/>
          <w:sz w:val="24"/>
          <w:szCs w:val="24"/>
        </w:rPr>
        <w:t>30,050</w:t>
      </w:r>
      <w:r w:rsidRPr="00106746">
        <w:rPr>
          <w:rFonts w:ascii="Aptos" w:hAnsi="Aptos"/>
          <w:sz w:val="24"/>
          <w:szCs w:val="24"/>
        </w:rPr>
        <w:t xml:space="preserve"> companies with 1.</w:t>
      </w:r>
      <w:r w:rsidR="00BD6F9D">
        <w:rPr>
          <w:rFonts w:ascii="Aptos" w:hAnsi="Aptos"/>
          <w:sz w:val="24"/>
          <w:szCs w:val="24"/>
        </w:rPr>
        <w:t>9</w:t>
      </w:r>
      <w:r w:rsidRPr="00106746">
        <w:rPr>
          <w:rFonts w:ascii="Aptos" w:hAnsi="Aptos"/>
          <w:sz w:val="24"/>
          <w:szCs w:val="24"/>
        </w:rPr>
        <w:t xml:space="preserve"> million employees and a turnover of USD 4</w:t>
      </w:r>
      <w:r w:rsidR="00BD6F9D">
        <w:rPr>
          <w:rFonts w:ascii="Aptos" w:hAnsi="Aptos"/>
          <w:sz w:val="24"/>
          <w:szCs w:val="24"/>
        </w:rPr>
        <w:t>5</w:t>
      </w:r>
      <w:r w:rsidRPr="00106746">
        <w:rPr>
          <w:rFonts w:ascii="Aptos" w:hAnsi="Aptos"/>
          <w:sz w:val="24"/>
          <w:szCs w:val="24"/>
        </w:rPr>
        <w:t xml:space="preserve"> billion. </w:t>
      </w:r>
    </w:p>
    <w:p w14:paraId="10C2C2C1" w14:textId="2377DED7" w:rsidR="00371E70" w:rsidRPr="00106746" w:rsidRDefault="00446B62" w:rsidP="00106746">
      <w:pPr>
        <w:jc w:val="both"/>
        <w:rPr>
          <w:rFonts w:ascii="Aptos" w:hAnsi="Aptos"/>
          <w:sz w:val="24"/>
          <w:szCs w:val="24"/>
        </w:rPr>
      </w:pPr>
      <w:r w:rsidRPr="00106746">
        <w:rPr>
          <w:rFonts w:ascii="Aptos" w:hAnsi="Aptos"/>
          <w:sz w:val="24"/>
          <w:szCs w:val="24"/>
        </w:rPr>
        <w:t xml:space="preserve">The Mercosur-European Union Partnership Agreement </w:t>
      </w:r>
      <w:r w:rsidR="00A96581" w:rsidRPr="00106746">
        <w:rPr>
          <w:rFonts w:ascii="Aptos" w:hAnsi="Aptos"/>
          <w:sz w:val="24"/>
          <w:szCs w:val="24"/>
        </w:rPr>
        <w:t xml:space="preserve">offers </w:t>
      </w:r>
      <w:r w:rsidR="00371E70" w:rsidRPr="00106746">
        <w:rPr>
          <w:rFonts w:ascii="Aptos" w:hAnsi="Aptos"/>
          <w:sz w:val="24"/>
          <w:szCs w:val="24"/>
        </w:rPr>
        <w:t>the textile and apparel industry opportunities related to market access, technological cooperation, investment, strengthening of environmental standards for countries in both economic blocs.</w:t>
      </w:r>
    </w:p>
    <w:p w14:paraId="5781E1B5" w14:textId="77777777" w:rsidR="00371E70" w:rsidRPr="00106746" w:rsidRDefault="00371E70" w:rsidP="00106746">
      <w:pPr>
        <w:jc w:val="both"/>
        <w:rPr>
          <w:rFonts w:ascii="Aptos" w:hAnsi="Aptos"/>
          <w:color w:val="EE0000"/>
          <w:sz w:val="24"/>
          <w:szCs w:val="24"/>
        </w:rPr>
      </w:pPr>
    </w:p>
    <w:p w14:paraId="6E2874AB" w14:textId="77777777" w:rsidR="001C0E6C" w:rsidRPr="00106746" w:rsidRDefault="001C0E6C" w:rsidP="00106746">
      <w:pPr>
        <w:jc w:val="both"/>
        <w:rPr>
          <w:rFonts w:ascii="Aptos" w:hAnsi="Aptos"/>
          <w:sz w:val="24"/>
          <w:szCs w:val="24"/>
        </w:rPr>
      </w:pPr>
    </w:p>
    <w:sectPr w:rsidR="001C0E6C" w:rsidRPr="00106746">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4AE0C" w14:textId="77777777" w:rsidR="00ED7A79" w:rsidRDefault="00ED7A79" w:rsidP="00106746">
      <w:pPr>
        <w:spacing w:after="0" w:line="240" w:lineRule="auto"/>
      </w:pPr>
      <w:r>
        <w:separator/>
      </w:r>
    </w:p>
  </w:endnote>
  <w:endnote w:type="continuationSeparator" w:id="0">
    <w:p w14:paraId="664742EF" w14:textId="77777777" w:rsidR="00ED7A79" w:rsidRDefault="00ED7A79" w:rsidP="00106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B4341" w14:textId="77777777" w:rsidR="00ED7A79" w:rsidRDefault="00ED7A79" w:rsidP="00106746">
      <w:pPr>
        <w:spacing w:after="0" w:line="240" w:lineRule="auto"/>
      </w:pPr>
      <w:r>
        <w:separator/>
      </w:r>
    </w:p>
  </w:footnote>
  <w:footnote w:type="continuationSeparator" w:id="0">
    <w:p w14:paraId="03B18EEB" w14:textId="77777777" w:rsidR="00ED7A79" w:rsidRDefault="00ED7A79" w:rsidP="001067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02012" w14:textId="063A4D4A" w:rsidR="00A32F4A" w:rsidRDefault="00A32F4A">
    <w:pPr>
      <w:pStyle w:val="Header"/>
    </w:pPr>
    <w:r>
      <w:rPr>
        <w:noProof/>
      </w:rPr>
      <w:drawing>
        <wp:inline distT="0" distB="0" distL="0" distR="0" wp14:anchorId="17864DD0" wp14:editId="3D8E1186">
          <wp:extent cx="1374295" cy="701040"/>
          <wp:effectExtent l="0" t="0" r="0" b="3810"/>
          <wp:docPr id="190193557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3557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151" cy="719330"/>
                  </a:xfrm>
                  <a:prstGeom prst="rect">
                    <a:avLst/>
                  </a:prstGeom>
                  <a:noFill/>
                </pic:spPr>
              </pic:pic>
            </a:graphicData>
          </a:graphic>
        </wp:inline>
      </w:drawing>
    </w:r>
    <w:r w:rsidR="00DA0FA1">
      <w:t xml:space="preserve"> </w:t>
    </w:r>
    <w:r w:rsidR="003B20C5">
      <w:t xml:space="preserve"> </w:t>
    </w:r>
    <w:r w:rsidR="004F3957">
      <w:t xml:space="preserve">      </w:t>
    </w:r>
    <w:r w:rsidR="006A169B">
      <w:t xml:space="preserve">  </w:t>
    </w:r>
    <w:r w:rsidR="00DE1E2F" w:rsidRPr="008166CA">
      <w:rPr>
        <w:noProof/>
        <w:lang w:val="pt-BR" w:eastAsia="pt-BR"/>
      </w:rPr>
      <w:drawing>
        <wp:inline distT="0" distB="0" distL="0" distR="0" wp14:anchorId="2239E28B" wp14:editId="71EF4F6D">
          <wp:extent cx="1251449" cy="678815"/>
          <wp:effectExtent l="0" t="0" r="6350" b="6985"/>
          <wp:docPr id="1" name="Imagem 1" descr="S:\de todos\Imagens\Logos Abit Texbrasil Apex\Logos em Alta e Abertos em AI e EPS\Logos Abertos\Abit\Abit Inglês\01_Color\Abit Inglês Colo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 todos\Imagens\Logos Abit Texbrasil Apex\Logos em Alta e Abertos em AI e EPS\Logos Abertos\Abit\Abit Inglês\01_Color\Abit Inglês Colori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9467" cy="694013"/>
                  </a:xfrm>
                  <a:prstGeom prst="rect">
                    <a:avLst/>
                  </a:prstGeom>
                  <a:noFill/>
                  <a:ln>
                    <a:noFill/>
                  </a:ln>
                </pic:spPr>
              </pic:pic>
            </a:graphicData>
          </a:graphic>
        </wp:inline>
      </w:drawing>
    </w:r>
    <w:r w:rsidR="00DA0FA1">
      <w:t xml:space="preserve"> </w:t>
    </w:r>
    <w:r w:rsidR="003B20C5">
      <w:t xml:space="preserve"> </w:t>
    </w:r>
    <w:r w:rsidR="004F3957">
      <w:t xml:space="preserve">       </w:t>
    </w:r>
    <w:r w:rsidR="003B20C5">
      <w:t xml:space="preserve">   </w:t>
    </w:r>
    <w:r w:rsidR="004F3957" w:rsidRPr="00DE13F0">
      <w:rPr>
        <w:rFonts w:ascii="Calibri" w:hAnsi="Calibri" w:cs="Calibri"/>
        <w:b/>
        <w:bCs/>
        <w:noProof/>
        <w:lang w:val="pt-BR"/>
      </w:rPr>
      <w:drawing>
        <wp:inline distT="0" distB="0" distL="0" distR="0" wp14:anchorId="346E31C5" wp14:editId="214ADEA7">
          <wp:extent cx="1012514" cy="701675"/>
          <wp:effectExtent l="0" t="0" r="0" b="3175"/>
          <wp:docPr id="1173489034"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89034" name="Imagem 1" descr="Texto&#10;&#10;O conteúdo gerado por IA pode estar incorreto."/>
                  <pic:cNvPicPr/>
                </pic:nvPicPr>
                <pic:blipFill>
                  <a:blip r:embed="rId3"/>
                  <a:stretch>
                    <a:fillRect/>
                  </a:stretch>
                </pic:blipFill>
                <pic:spPr>
                  <a:xfrm>
                    <a:off x="0" y="0"/>
                    <a:ext cx="1057461" cy="732824"/>
                  </a:xfrm>
                  <a:prstGeom prst="rect">
                    <a:avLst/>
                  </a:prstGeom>
                </pic:spPr>
              </pic:pic>
            </a:graphicData>
          </a:graphic>
        </wp:inline>
      </w:drawing>
    </w:r>
    <w:r w:rsidR="003B20C5">
      <w:t xml:space="preserve">     </w:t>
    </w:r>
    <w:r w:rsidR="004F3957">
      <w:t xml:space="preserve">        </w:t>
    </w:r>
    <w:r w:rsidR="003B20C5">
      <w:t xml:space="preserve"> </w:t>
    </w:r>
    <w:r w:rsidR="006A169B">
      <w:rPr>
        <w:noProof/>
      </w:rPr>
      <w:t xml:space="preserve"> </w:t>
    </w:r>
    <w:r w:rsidR="006A169B">
      <w:rPr>
        <w:noProof/>
        <w:lang w:val="pt-BR" w:eastAsia="pt-BR"/>
      </w:rPr>
      <w:drawing>
        <wp:inline distT="0" distB="0" distL="0" distR="0" wp14:anchorId="2E1A2355" wp14:editId="36351300">
          <wp:extent cx="695325" cy="697887"/>
          <wp:effectExtent l="0" t="0" r="0" b="6985"/>
          <wp:docPr id="7" name="Picture 7" descr="Código Q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ódigo QR&#10;&#10;O conteúdo gerado por IA pode estar incorreto."/>
                  <pic:cNvPicPr/>
                </pic:nvPicPr>
                <pic:blipFill>
                  <a:blip r:embed="rId4">
                    <a:extLst>
                      <a:ext uri="{28A0092B-C50C-407E-A947-70E740481C1C}">
                        <a14:useLocalDpi xmlns:a14="http://schemas.microsoft.com/office/drawing/2010/main" val="0"/>
                      </a:ext>
                    </a:extLst>
                  </a:blip>
                  <a:stretch>
                    <a:fillRect/>
                  </a:stretch>
                </pic:blipFill>
                <pic:spPr>
                  <a:xfrm>
                    <a:off x="0" y="0"/>
                    <a:ext cx="704470" cy="707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E6C"/>
    <w:rsid w:val="00060F6A"/>
    <w:rsid w:val="000629FC"/>
    <w:rsid w:val="000F43A5"/>
    <w:rsid w:val="00106746"/>
    <w:rsid w:val="001A362F"/>
    <w:rsid w:val="001C0E6C"/>
    <w:rsid w:val="001C73F5"/>
    <w:rsid w:val="00210D6A"/>
    <w:rsid w:val="0030303F"/>
    <w:rsid w:val="00357E71"/>
    <w:rsid w:val="00371E70"/>
    <w:rsid w:val="003A2969"/>
    <w:rsid w:val="003B20C5"/>
    <w:rsid w:val="003E103E"/>
    <w:rsid w:val="004013A8"/>
    <w:rsid w:val="00446B62"/>
    <w:rsid w:val="004F3957"/>
    <w:rsid w:val="004F4233"/>
    <w:rsid w:val="004F5951"/>
    <w:rsid w:val="00523D12"/>
    <w:rsid w:val="006338DF"/>
    <w:rsid w:val="006727C4"/>
    <w:rsid w:val="006A169B"/>
    <w:rsid w:val="00731E0A"/>
    <w:rsid w:val="008070F7"/>
    <w:rsid w:val="008558F7"/>
    <w:rsid w:val="009D7347"/>
    <w:rsid w:val="00A32F4A"/>
    <w:rsid w:val="00A96581"/>
    <w:rsid w:val="00B94DBF"/>
    <w:rsid w:val="00BA5581"/>
    <w:rsid w:val="00BD6F9D"/>
    <w:rsid w:val="00CB3025"/>
    <w:rsid w:val="00CB4DDB"/>
    <w:rsid w:val="00CF3A98"/>
    <w:rsid w:val="00DA0FA1"/>
    <w:rsid w:val="00DE1E2F"/>
    <w:rsid w:val="00EB2BCF"/>
    <w:rsid w:val="00ED7A79"/>
    <w:rsid w:val="00F430C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D45B3"/>
  <w15:chartTrackingRefBased/>
  <w15:docId w15:val="{19AE3810-61E5-4FEE-96EA-0630C45A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746"/>
    <w:pPr>
      <w:tabs>
        <w:tab w:val="center" w:pos="4252"/>
        <w:tab w:val="right" w:pos="8504"/>
      </w:tabs>
      <w:spacing w:after="0" w:line="240" w:lineRule="auto"/>
    </w:pPr>
  </w:style>
  <w:style w:type="character" w:customStyle="1" w:styleId="HeaderChar">
    <w:name w:val="Header Char"/>
    <w:basedOn w:val="DefaultParagraphFont"/>
    <w:link w:val="Header"/>
    <w:uiPriority w:val="99"/>
    <w:rsid w:val="00106746"/>
    <w:rPr>
      <w:lang w:val="en-GB"/>
    </w:rPr>
  </w:style>
  <w:style w:type="paragraph" w:styleId="Footer">
    <w:name w:val="footer"/>
    <w:basedOn w:val="Normal"/>
    <w:link w:val="FooterChar"/>
    <w:uiPriority w:val="99"/>
    <w:unhideWhenUsed/>
    <w:rsid w:val="00106746"/>
    <w:pPr>
      <w:tabs>
        <w:tab w:val="center" w:pos="4252"/>
        <w:tab w:val="right" w:pos="8504"/>
      </w:tabs>
      <w:spacing w:after="0" w:line="240" w:lineRule="auto"/>
    </w:pPr>
  </w:style>
  <w:style w:type="character" w:customStyle="1" w:styleId="FooterChar">
    <w:name w:val="Footer Char"/>
    <w:basedOn w:val="DefaultParagraphFont"/>
    <w:link w:val="Footer"/>
    <w:uiPriority w:val="99"/>
    <w:rsid w:val="0010674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271</Words>
  <Characters>1546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Vantyghem</dc:creator>
  <cp:keywords/>
  <dc:description/>
  <cp:lastModifiedBy>Victor Lefter</cp:lastModifiedBy>
  <cp:revision>15</cp:revision>
  <cp:lastPrinted>2026-02-03T19:32:00Z</cp:lastPrinted>
  <dcterms:created xsi:type="dcterms:W3CDTF">2026-02-04T16:54:00Z</dcterms:created>
  <dcterms:modified xsi:type="dcterms:W3CDTF">2026-02-06T07:48:00Z</dcterms:modified>
</cp:coreProperties>
</file>